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4670579"/>
        <w:docPartObj>
          <w:docPartGallery w:val="Cover Pages"/>
          <w:docPartUnique/>
        </w:docPartObj>
      </w:sdtPr>
      <w:sdtEndPr>
        <w:rPr>
          <w:sz w:val="36"/>
          <w:szCs w:val="36"/>
          <w:lang w:val="es-ES"/>
        </w:rPr>
      </w:sdtEndPr>
      <w:sdtContent>
        <w:sdt>
          <w:sdtPr>
            <w:id w:val="-166244673"/>
            <w:docPartObj>
              <w:docPartGallery w:val="Cover Pages"/>
              <w:docPartUnique/>
            </w:docPartObj>
          </w:sdtPr>
          <w:sdtEndPr/>
          <w:sdtContent>
            <w:p w:rsidR="00A026B0" w:rsidRDefault="00A026B0" w:rsidP="00A026B0">
              <w:r>
                <w:rPr>
                  <w:rFonts w:ascii="Times New Roman" w:eastAsia="Times New Roman" w:hAnsi="Times New Roman" w:cs="Times New Roman"/>
                  <w:noProof/>
                  <w:color w:val="E52D2D"/>
                  <w:sz w:val="2"/>
                  <w:szCs w:val="2"/>
                  <w:lang w:val="es-MX" w:eastAsia="es-MX"/>
                </w:rPr>
                <w:drawing>
                  <wp:anchor distT="0" distB="0" distL="114300" distR="114300" simplePos="0" relativeHeight="251662336" behindDoc="1" locked="0" layoutInCell="1" allowOverlap="1" wp14:anchorId="139F93AC" wp14:editId="6BF0EB99">
                    <wp:simplePos x="0" y="0"/>
                    <wp:positionH relativeFrom="column">
                      <wp:posOffset>788035</wp:posOffset>
                    </wp:positionH>
                    <wp:positionV relativeFrom="paragraph">
                      <wp:posOffset>-241935</wp:posOffset>
                    </wp:positionV>
                    <wp:extent cx="4076700" cy="800100"/>
                    <wp:effectExtent l="0" t="0" r="0" b="0"/>
                    <wp:wrapThrough wrapText="bothSides">
                      <wp:wrapPolygon edited="0">
                        <wp:start x="0" y="0"/>
                        <wp:lineTo x="0" y="20571"/>
                        <wp:lineTo x="101" y="21086"/>
                        <wp:lineTo x="3533" y="21086"/>
                        <wp:lineTo x="21499" y="19029"/>
                        <wp:lineTo x="21499" y="13886"/>
                        <wp:lineTo x="17764" y="8229"/>
                        <wp:lineTo x="17966" y="5143"/>
                        <wp:lineTo x="16351" y="4114"/>
                        <wp:lineTo x="3836" y="0"/>
                        <wp:lineTo x="0" y="0"/>
                      </wp:wrapPolygon>
                    </wp:wrapThrough>
                    <wp:docPr id="3" name="Imagen 3" descr="Sedesso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esso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67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6B0" w:rsidRDefault="00A026B0" w:rsidP="00A026B0"/>
            <w:p w:rsidR="00A026B0" w:rsidRDefault="00A026B0" w:rsidP="00A026B0">
              <w:pPr>
                <w:tabs>
                  <w:tab w:val="left" w:pos="3301"/>
                  <w:tab w:val="center" w:pos="4419"/>
                </w:tabs>
                <w:spacing w:line="240" w:lineRule="auto"/>
                <w:rPr>
                  <w:sz w:val="72"/>
                  <w:szCs w:val="72"/>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A026B0" w:rsidRPr="00D667DC" w:rsidRDefault="00A026B0" w:rsidP="00A026B0">
              <w:pPr>
                <w:pStyle w:val="Encabezado"/>
                <w:jc w:val="center"/>
                <w:rPr>
                  <w:b/>
                  <w:i/>
                  <w:sz w:val="52"/>
                  <w:szCs w:val="52"/>
                  <w:lang w:val="es-MX"/>
                </w:rPr>
              </w:pPr>
              <w:r w:rsidRPr="00D667DC">
                <w:rPr>
                  <w:b/>
                  <w:i/>
                  <w:sz w:val="52"/>
                  <w:szCs w:val="52"/>
                  <w:lang w:val="es-MX"/>
                </w:rPr>
                <w:t>Informe de Solventación de Hallazgos</w:t>
              </w:r>
            </w:p>
            <w:p w:rsidR="00A026B0" w:rsidRDefault="00A026B0" w:rsidP="00A026B0">
              <w:pPr>
                <w:tabs>
                  <w:tab w:val="left" w:pos="3345"/>
                </w:tabs>
                <w:rPr>
                  <w:sz w:val="36"/>
                  <w:szCs w:val="36"/>
                  <w:lang w:val="es-ES"/>
                </w:rPr>
              </w:pPr>
            </w:p>
            <w:p w:rsidR="00A026B0" w:rsidRDefault="00A026B0" w:rsidP="00A026B0">
              <w:pPr>
                <w:rPr>
                  <w:sz w:val="36"/>
                  <w:szCs w:val="36"/>
                  <w:lang w:val="es-ES"/>
                </w:rPr>
              </w:pPr>
            </w:p>
            <w:p w:rsidR="00A026B0" w:rsidRPr="00093739" w:rsidRDefault="00A026B0" w:rsidP="00A026B0">
              <w:pPr>
                <w:tabs>
                  <w:tab w:val="left" w:pos="720"/>
                  <w:tab w:val="left" w:pos="3301"/>
                  <w:tab w:val="center" w:pos="4419"/>
                  <w:tab w:val="center" w:pos="4536"/>
                </w:tabs>
                <w:spacing w:line="240" w:lineRule="auto"/>
                <w:rPr>
                  <w:sz w:val="48"/>
                  <w:szCs w:val="48"/>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A026B0" w:rsidRDefault="00A026B0" w:rsidP="00A026B0">
              <w:pPr>
                <w:rPr>
                  <w:sz w:val="36"/>
                  <w:szCs w:val="36"/>
                  <w:lang w:val="es-ES"/>
                </w:rPr>
              </w:pPr>
            </w:p>
            <w:p w:rsidR="00D667DC" w:rsidRDefault="00D667DC" w:rsidP="00A026B0">
              <w:pPr>
                <w:rPr>
                  <w:sz w:val="36"/>
                  <w:szCs w:val="36"/>
                  <w:lang w:val="es-ES"/>
                </w:rPr>
              </w:pPr>
            </w:p>
            <w:p w:rsidR="00D667DC" w:rsidRDefault="00A026B0" w:rsidP="00D667DC">
              <w:pPr>
                <w:jc w:val="center"/>
                <w:rPr>
                  <w:sz w:val="36"/>
                  <w:szCs w:val="36"/>
                  <w:lang w:val="es-ES"/>
                </w:rPr>
              </w:pPr>
              <w:r w:rsidRPr="00A026B0">
                <w:rPr>
                  <w:noProof/>
                  <w:sz w:val="36"/>
                  <w:szCs w:val="36"/>
                  <w:lang w:val="es-MX" w:eastAsia="es-MX"/>
                </w:rPr>
                <mc:AlternateContent>
                  <mc:Choice Requires="wps">
                    <w:drawing>
                      <wp:anchor distT="0" distB="0" distL="114300" distR="114300" simplePos="0" relativeHeight="251661312" behindDoc="0" locked="0" layoutInCell="1" allowOverlap="1" wp14:anchorId="148B3CAD" wp14:editId="3CA3887F">
                        <wp:simplePos x="0" y="0"/>
                        <wp:positionH relativeFrom="column">
                          <wp:posOffset>31115</wp:posOffset>
                        </wp:positionH>
                        <wp:positionV relativeFrom="paragraph">
                          <wp:posOffset>354965</wp:posOffset>
                        </wp:positionV>
                        <wp:extent cx="5419725" cy="0"/>
                        <wp:effectExtent l="0" t="19050" r="9525" b="19050"/>
                        <wp:wrapNone/>
                        <wp:docPr id="2"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381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1" o:spid="_x0000_s1026" type="#_x0000_t32" style="position:absolute;margin-left:2.45pt;margin-top:27.95pt;width:42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" strokecolor="#a5a5a5 [2092]" strokeweight="3pt"/>
                    </w:pict>
                  </mc:Fallback>
                </mc:AlternateContent>
              </w:r>
              <w:r w:rsidRPr="00A026B0">
                <w:rPr>
                  <w:b/>
                  <w:sz w:val="36"/>
                  <w:szCs w:val="36"/>
                  <w:lang w:val="es-ES"/>
                </w:rPr>
                <w:t>Secretaría de Desarrollo Social del Estado de Sonora</w:t>
              </w:r>
            </w:p>
            <w:p w:rsidR="00D667DC" w:rsidRDefault="00D667DC" w:rsidP="00D667DC">
              <w:pPr>
                <w:jc w:val="center"/>
                <w:rPr>
                  <w:sz w:val="36"/>
                  <w:szCs w:val="36"/>
                  <w:lang w:val="es-ES"/>
                </w:rPr>
              </w:pPr>
            </w:p>
            <w:p w:rsidR="00D667DC" w:rsidRDefault="00D667DC" w:rsidP="00D667DC">
              <w:pPr>
                <w:jc w:val="center"/>
                <w:rPr>
                  <w:sz w:val="36"/>
                  <w:szCs w:val="36"/>
                  <w:lang w:val="es-ES"/>
                </w:rPr>
              </w:pPr>
              <w:r>
                <w:rPr>
                  <w:sz w:val="36"/>
                  <w:szCs w:val="36"/>
                  <w:lang w:val="es-ES"/>
                </w:rPr>
                <w:t>CONTENIDO</w:t>
              </w:r>
            </w:p>
            <w:p w:rsidR="00D667DC" w:rsidRDefault="00D667DC" w:rsidP="00801654">
              <w:pPr>
                <w:rPr>
                  <w:sz w:val="36"/>
                  <w:szCs w:val="36"/>
                  <w:lang w:val="es-ES"/>
                </w:rPr>
              </w:pPr>
            </w:p>
            <w:tbl>
              <w:tblPr>
                <w:tblStyle w:val="Tablaconcuadrcula"/>
                <w:tblW w:w="0" w:type="auto"/>
                <w:tblInd w:w="250" w:type="dxa"/>
                <w:tblLook w:val="04A0" w:firstRow="1" w:lastRow="0" w:firstColumn="1" w:lastColumn="0" w:noHBand="0" w:noVBand="1"/>
              </w:tblPr>
              <w:tblGrid>
                <w:gridCol w:w="7371"/>
                <w:gridCol w:w="1361"/>
              </w:tblGrid>
              <w:tr w:rsidR="00D667DC" w:rsidRPr="000F2EC0" w:rsidTr="00D667DC">
                <w:tc>
                  <w:tcPr>
                    <w:tcW w:w="7371" w:type="dxa"/>
                  </w:tcPr>
                  <w:p w:rsidR="00D667DC" w:rsidRPr="000F2EC0" w:rsidRDefault="005D0DBB" w:rsidP="005D0DBB">
                    <w:pPr>
                      <w:pStyle w:val="Prrafodelista"/>
                      <w:ind w:left="142"/>
                      <w:rPr>
                        <w:rFonts w:ascii="Arial" w:hAnsi="Arial" w:cs="Arial"/>
                        <w:b/>
                        <w:sz w:val="28"/>
                        <w:szCs w:val="28"/>
                        <w:lang w:val="es-ES"/>
                      </w:rPr>
                    </w:pPr>
                    <w:r w:rsidRPr="000F2EC0">
                      <w:rPr>
                        <w:rFonts w:ascii="Arial" w:hAnsi="Arial" w:cs="Arial"/>
                        <w:b/>
                        <w:sz w:val="28"/>
                        <w:szCs w:val="28"/>
                        <w:lang w:val="es-ES"/>
                      </w:rPr>
                      <w:t xml:space="preserve"> </w:t>
                    </w:r>
                    <w:r w:rsidR="00D667DC" w:rsidRPr="000F2EC0">
                      <w:rPr>
                        <w:rFonts w:ascii="Arial" w:hAnsi="Arial" w:cs="Arial"/>
                        <w:b/>
                        <w:sz w:val="28"/>
                        <w:szCs w:val="28"/>
                        <w:lang w:val="es-ES"/>
                      </w:rPr>
                      <w:t>Respuesta de la Observación No</w:t>
                    </w:r>
                    <w:r w:rsidR="00036284" w:rsidRPr="000F2EC0">
                      <w:rPr>
                        <w:rFonts w:ascii="Arial" w:hAnsi="Arial" w:cs="Arial"/>
                        <w:b/>
                        <w:sz w:val="28"/>
                        <w:szCs w:val="28"/>
                        <w:lang w:val="es-ES"/>
                      </w:rPr>
                      <w:t>.</w:t>
                    </w:r>
                    <w:r w:rsidR="00D667DC" w:rsidRPr="000F2EC0">
                      <w:rPr>
                        <w:rFonts w:ascii="Arial" w:hAnsi="Arial" w:cs="Arial"/>
                        <w:b/>
                        <w:sz w:val="28"/>
                        <w:szCs w:val="28"/>
                        <w:lang w:val="es-ES"/>
                      </w:rPr>
                      <w:t xml:space="preserve"> 1</w:t>
                    </w:r>
                  </w:p>
                </w:tc>
                <w:tc>
                  <w:tcPr>
                    <w:tcW w:w="1361" w:type="dxa"/>
                  </w:tcPr>
                  <w:p w:rsidR="00D667DC" w:rsidRPr="004529EB" w:rsidRDefault="000F2EC0" w:rsidP="00D667DC">
                    <w:pPr>
                      <w:jc w:val="center"/>
                      <w:rPr>
                        <w:rFonts w:ascii="Arial" w:hAnsi="Arial" w:cs="Arial"/>
                        <w:b/>
                        <w:sz w:val="24"/>
                        <w:szCs w:val="24"/>
                        <w:lang w:val="es-ES"/>
                      </w:rPr>
                    </w:pPr>
                    <w:r w:rsidRPr="004529EB">
                      <w:rPr>
                        <w:rFonts w:ascii="Arial" w:hAnsi="Arial" w:cs="Arial"/>
                        <w:b/>
                        <w:sz w:val="24"/>
                        <w:szCs w:val="24"/>
                        <w:lang w:val="es-ES"/>
                      </w:rPr>
                      <w:t>2</w:t>
                    </w:r>
                  </w:p>
                </w:tc>
              </w:tr>
              <w:tr w:rsidR="00D667DC" w:rsidTr="00D667DC">
                <w:tc>
                  <w:tcPr>
                    <w:tcW w:w="7371" w:type="dxa"/>
                  </w:tcPr>
                  <w:p w:rsidR="00D667DC" w:rsidRPr="000F2EC0" w:rsidRDefault="005D0DBB" w:rsidP="005D0DBB">
                    <w:pPr>
                      <w:ind w:left="142"/>
                      <w:rPr>
                        <w:rFonts w:ascii="Arial" w:hAnsi="Arial" w:cs="Arial"/>
                        <w:b/>
                        <w:sz w:val="28"/>
                        <w:szCs w:val="28"/>
                        <w:lang w:val="es-ES"/>
                      </w:rPr>
                    </w:pPr>
                    <w:r w:rsidRPr="000F2EC0">
                      <w:rPr>
                        <w:rFonts w:ascii="Arial" w:hAnsi="Arial" w:cs="Arial"/>
                        <w:sz w:val="28"/>
                        <w:szCs w:val="28"/>
                        <w:lang w:val="es-ES"/>
                      </w:rPr>
                      <w:t xml:space="preserve"> </w:t>
                    </w:r>
                    <w:r w:rsidR="00D667DC" w:rsidRPr="000F2EC0">
                      <w:rPr>
                        <w:rFonts w:ascii="Arial" w:hAnsi="Arial" w:cs="Arial"/>
                        <w:b/>
                        <w:sz w:val="28"/>
                        <w:szCs w:val="28"/>
                        <w:lang w:val="es-ES"/>
                      </w:rPr>
                      <w:t>Anexo</w:t>
                    </w:r>
                  </w:p>
                </w:tc>
                <w:tc>
                  <w:tcPr>
                    <w:tcW w:w="1361" w:type="dxa"/>
                  </w:tcPr>
                  <w:p w:rsidR="00D667DC" w:rsidRPr="004529EB" w:rsidRDefault="006D2A76" w:rsidP="00D667DC">
                    <w:pPr>
                      <w:jc w:val="center"/>
                      <w:rPr>
                        <w:rFonts w:ascii="Arial" w:hAnsi="Arial" w:cs="Arial"/>
                        <w:b/>
                        <w:sz w:val="24"/>
                        <w:szCs w:val="24"/>
                        <w:lang w:val="es-ES"/>
                      </w:rPr>
                    </w:pPr>
                    <w:r>
                      <w:rPr>
                        <w:rFonts w:ascii="Arial" w:hAnsi="Arial" w:cs="Arial"/>
                        <w:b/>
                        <w:sz w:val="24"/>
                        <w:szCs w:val="24"/>
                        <w:lang w:val="es-ES"/>
                      </w:rPr>
                      <w:t>4</w:t>
                    </w:r>
                  </w:p>
                </w:tc>
              </w:tr>
              <w:tr w:rsidR="00D667DC" w:rsidTr="00D667DC">
                <w:tc>
                  <w:tcPr>
                    <w:tcW w:w="7371" w:type="dxa"/>
                  </w:tcPr>
                  <w:p w:rsidR="00D667DC" w:rsidRPr="000F2EC0" w:rsidRDefault="006D2A76" w:rsidP="006D2A76">
                    <w:pPr>
                      <w:ind w:left="142"/>
                      <w:jc w:val="both"/>
                      <w:rPr>
                        <w:rFonts w:ascii="Arial" w:hAnsi="Arial" w:cs="Arial"/>
                        <w:sz w:val="28"/>
                        <w:szCs w:val="28"/>
                        <w:lang w:val="es-ES"/>
                      </w:rPr>
                    </w:pPr>
                    <w:r>
                      <w:rPr>
                        <w:rFonts w:ascii="Arial" w:hAnsi="Arial" w:cs="Arial"/>
                        <w:sz w:val="24"/>
                        <w:szCs w:val="24"/>
                        <w:lang w:val="es-MX"/>
                      </w:rPr>
                      <w:t>C</w:t>
                    </w:r>
                    <w:r>
                      <w:rPr>
                        <w:rFonts w:ascii="Arial" w:hAnsi="Arial" w:cs="Arial"/>
                        <w:sz w:val="24"/>
                        <w:szCs w:val="24"/>
                        <w:lang w:val="es-MX"/>
                      </w:rPr>
                      <w:t xml:space="preserve">uadro informativo que detalla y precisa las causas específicas y </w:t>
                    </w:r>
                    <w:r>
                      <w:rPr>
                        <w:rFonts w:ascii="Arial" w:hAnsi="Arial" w:cs="Arial"/>
                        <w:sz w:val="24"/>
                        <w:szCs w:val="24"/>
                        <w:lang w:val="es-MX"/>
                      </w:rPr>
                      <w:t xml:space="preserve">las </w:t>
                    </w:r>
                    <w:r>
                      <w:rPr>
                        <w:rFonts w:ascii="Arial" w:hAnsi="Arial" w:cs="Arial"/>
                        <w:sz w:val="24"/>
                        <w:szCs w:val="24"/>
                        <w:lang w:val="es-MX"/>
                      </w:rPr>
                      <w:t>variaciones observadas</w:t>
                    </w:r>
                  </w:p>
                </w:tc>
                <w:tc>
                  <w:tcPr>
                    <w:tcW w:w="1361" w:type="dxa"/>
                  </w:tcPr>
                  <w:p w:rsidR="00D667DC" w:rsidRPr="004529EB" w:rsidRDefault="00D667DC" w:rsidP="00D667DC">
                    <w:pPr>
                      <w:jc w:val="center"/>
                      <w:rPr>
                        <w:rFonts w:ascii="Arial" w:hAnsi="Arial" w:cs="Arial"/>
                        <w:sz w:val="24"/>
                        <w:szCs w:val="24"/>
                        <w:lang w:val="es-ES"/>
                      </w:rPr>
                    </w:pPr>
                  </w:p>
                </w:tc>
              </w:tr>
            </w:tbl>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D667DC" w:rsidRDefault="00D667DC" w:rsidP="00D667DC">
              <w:pPr>
                <w:jc w:val="center"/>
                <w:rPr>
                  <w:sz w:val="36"/>
                  <w:szCs w:val="36"/>
                  <w:lang w:val="es-ES"/>
                </w:rPr>
              </w:pPr>
            </w:p>
            <w:p w:rsidR="006D2A76" w:rsidRDefault="006D2A76" w:rsidP="00A026B0">
              <w:pPr>
                <w:rPr>
                  <w:sz w:val="36"/>
                  <w:szCs w:val="36"/>
                  <w:lang w:val="es-ES"/>
                </w:rPr>
              </w:pPr>
            </w:p>
            <w:p w:rsidR="00EF57CA" w:rsidRDefault="00BC6A98" w:rsidP="00A026B0">
              <w:pPr>
                <w:rPr>
                  <w:sz w:val="36"/>
                  <w:szCs w:val="36"/>
                  <w:lang w:val="es-ES"/>
                </w:rPr>
              </w:pPr>
            </w:p>
          </w:sdtContent>
        </w:sdt>
      </w:sdtContent>
    </w:sdt>
    <w:p w:rsidR="006536D4" w:rsidRDefault="006536D4" w:rsidP="00DC2DC1">
      <w:pPr>
        <w:jc w:val="both"/>
        <w:rPr>
          <w:rFonts w:ascii="Arial" w:hAnsi="Arial" w:cs="Arial"/>
          <w:sz w:val="24"/>
          <w:szCs w:val="24"/>
          <w:lang w:val="es-ES"/>
        </w:rPr>
      </w:pPr>
    </w:p>
    <w:p w:rsidR="006D2A76" w:rsidRDefault="006D2A76" w:rsidP="00DC2DC1">
      <w:pPr>
        <w:jc w:val="both"/>
        <w:rPr>
          <w:rFonts w:ascii="Arial" w:hAnsi="Arial" w:cs="Arial"/>
          <w:sz w:val="24"/>
          <w:szCs w:val="24"/>
          <w:lang w:val="es-ES"/>
        </w:rPr>
      </w:pPr>
    </w:p>
    <w:p w:rsidR="006D2A76" w:rsidRPr="00F12670" w:rsidRDefault="006D2A76" w:rsidP="006D2A76">
      <w:pPr>
        <w:jc w:val="center"/>
        <w:rPr>
          <w:sz w:val="36"/>
          <w:szCs w:val="36"/>
          <w:lang w:val="es-ES"/>
        </w:rPr>
      </w:pPr>
      <w:r w:rsidRPr="00F12670">
        <w:rPr>
          <w:b/>
          <w:sz w:val="40"/>
          <w:szCs w:val="40"/>
          <w:lang w:val="es-ES"/>
        </w:rPr>
        <w:lastRenderedPageBreak/>
        <w:t>Secretaría de Desarrollo Social del Estado de Sonora</w:t>
      </w:r>
    </w:p>
    <w:p w:rsidR="006D2A76" w:rsidRPr="00C90204" w:rsidRDefault="006D2A76" w:rsidP="006D2A76">
      <w:pPr>
        <w:pStyle w:val="Piedepgina"/>
        <w:rPr>
          <w:sz w:val="24"/>
          <w:szCs w:val="24"/>
          <w:shd w:val="clear" w:color="auto" w:fill="FFFFFF" w:themeFill="background1"/>
          <w:lang w:val="es-ES"/>
        </w:rPr>
      </w:pPr>
      <w:r w:rsidRPr="00C90204">
        <w:rPr>
          <w:rStyle w:val="Textoennegrita"/>
          <w:rFonts w:ascii="Roboto" w:hAnsi="Roboto"/>
          <w:color w:val="333333"/>
          <w:sz w:val="24"/>
          <w:szCs w:val="24"/>
          <w:shd w:val="clear" w:color="auto" w:fill="FFFFFF" w:themeFill="background1"/>
        </w:rPr>
        <w:t xml:space="preserve">2017AE0103010807 Auditoria </w:t>
      </w:r>
    </w:p>
    <w:p w:rsidR="006D2A76" w:rsidRPr="00F12670" w:rsidRDefault="006D2A76" w:rsidP="006D2A76">
      <w:pPr>
        <w:pStyle w:val="Piedepgina"/>
        <w:rPr>
          <w:sz w:val="36"/>
          <w:szCs w:val="36"/>
          <w:lang w:val="es-ES"/>
        </w:rPr>
      </w:pPr>
      <w:r w:rsidRPr="00F12670">
        <w:rPr>
          <w:sz w:val="36"/>
          <w:szCs w:val="36"/>
          <w:lang w:val="es-ES"/>
        </w:rPr>
        <w:t xml:space="preserve">Observación 1: </w:t>
      </w:r>
      <w:r w:rsidRPr="00F12670">
        <w:rPr>
          <w:b/>
          <w:sz w:val="36"/>
          <w:szCs w:val="36"/>
          <w:lang w:val="es-ES"/>
        </w:rPr>
        <w:t>No Atendida</w:t>
      </w:r>
    </w:p>
    <w:p w:rsidR="006D2A76" w:rsidRPr="00F12670" w:rsidRDefault="006D2A76" w:rsidP="006D2A76">
      <w:pPr>
        <w:rPr>
          <w:sz w:val="36"/>
          <w:szCs w:val="36"/>
          <w:u w:val="single"/>
          <w:lang w:val="es-ES"/>
        </w:rPr>
      </w:pPr>
      <w:r w:rsidRPr="00F12670">
        <w:rPr>
          <w:sz w:val="36"/>
          <w:szCs w:val="36"/>
          <w:lang w:val="es-ES"/>
        </w:rPr>
        <w:t>Descripción</w:t>
      </w:r>
    </w:p>
    <w:p w:rsidR="006D2A76" w:rsidRPr="00C90204" w:rsidRDefault="006D2A76" w:rsidP="006D2A76">
      <w:pPr>
        <w:jc w:val="both"/>
        <w:rPr>
          <w:lang w:val="es-MX"/>
        </w:rPr>
      </w:pPr>
      <w:r w:rsidRPr="00C90204">
        <w:rPr>
          <w:lang w:val="es-MX"/>
        </w:rPr>
        <w:t>De la revisión realizada a la Secretaría de Desarrollo Social del Estado de Sonora ubicada en Paseo Río Sonora Norte número 76, tercer piso, local La Gran Plaza, colonia Proyecto Río Sonora, en la ciudad de Hermosillo, Sonora, al ejercicio 2017, se determinó en el análisis al presupuesto modificado con respecto al devengado, en los capítulos 4000 Transferencias, Asignaciones, Subsidios y Otras Ayudas por un importe de $38,071,779 y 6000 Inversión Pública por un importe de $16,052,546, un subejercicio de $54,124,325, ya que los presupuestos modificados no fueron ejercidos en su totalidad de igual forma los compromisos establecidos dentro de esos programas no fueron ejecutados, lo cual impidió alcanzar los apoyos hacia la población en beneficio comunitario o familiar, sin proporcionarnos justificación alguna que explique este hecho, tal como se describe a continuación:</w:t>
      </w:r>
    </w:p>
    <w:p w:rsidR="006D2A76" w:rsidRPr="00F12670" w:rsidRDefault="006D2A76" w:rsidP="006D2A76">
      <w:pPr>
        <w:rPr>
          <w:sz w:val="36"/>
          <w:szCs w:val="36"/>
          <w:lang w:val="es-ES"/>
        </w:rPr>
      </w:pPr>
      <w:r w:rsidRPr="00F12670">
        <w:rPr>
          <w:sz w:val="36"/>
          <w:szCs w:val="36"/>
          <w:lang w:val="es-ES"/>
        </w:rPr>
        <w:t>Normatividad Infringida</w:t>
      </w:r>
    </w:p>
    <w:p w:rsidR="006D2A76" w:rsidRPr="00C90204" w:rsidRDefault="006D2A76" w:rsidP="006D2A76">
      <w:pPr>
        <w:jc w:val="both"/>
        <w:rPr>
          <w:lang w:val="es-ES"/>
        </w:rPr>
      </w:pPr>
      <w:r w:rsidRPr="00F12670">
        <w:rPr>
          <w:lang w:val="es-ES"/>
        </w:rPr>
        <w:t>Artículos 2 y150 de la Constitución Política del Estado de Sonora; 16, 19, Bis G Fracción VI, de la Ley de Presupuesto de Egreso y Gasto Público; 10, 28 del Reglamento de la Ley de Presupuesto de Egreso, Contabilidad Gubernamental y Gasto Público Estatal; Revelación Suficiente y Registro e Integración Presupuestaria de los Postulados Básicos de Contabilidad Gubernamental; 6 y 7 de la Ley</w:t>
      </w:r>
      <w:r>
        <w:rPr>
          <w:lang w:val="es-ES"/>
        </w:rPr>
        <w:t xml:space="preserve"> Estatal de Responsabilidades.</w:t>
      </w:r>
      <w:r>
        <w:rPr>
          <w:lang w:val="es-ES"/>
        </w:rPr>
        <w:br/>
      </w:r>
    </w:p>
    <w:p w:rsidR="006D2A76" w:rsidRPr="00AC7442" w:rsidRDefault="006D2A76" w:rsidP="006D2A76">
      <w:pPr>
        <w:rPr>
          <w:sz w:val="36"/>
          <w:szCs w:val="36"/>
          <w:u w:val="single"/>
          <w:lang w:val="es-ES"/>
        </w:rPr>
      </w:pPr>
      <w:r w:rsidRPr="00F12670">
        <w:rPr>
          <w:sz w:val="36"/>
          <w:szCs w:val="36"/>
          <w:lang w:val="es-ES"/>
        </w:rPr>
        <w:t xml:space="preserve">Medio de </w:t>
      </w:r>
      <w:proofErr w:type="spellStart"/>
      <w:r w:rsidRPr="00F12670">
        <w:rPr>
          <w:sz w:val="36"/>
          <w:szCs w:val="36"/>
          <w:lang w:val="es-ES"/>
        </w:rPr>
        <w:t>Solventación</w:t>
      </w:r>
      <w:proofErr w:type="spellEnd"/>
    </w:p>
    <w:p w:rsidR="006D2A76" w:rsidRPr="00F12670" w:rsidRDefault="006D2A76" w:rsidP="006D2A76">
      <w:pPr>
        <w:jc w:val="both"/>
        <w:rPr>
          <w:lang w:val="es-ES"/>
        </w:rPr>
      </w:pPr>
      <w:r w:rsidRPr="00F12670">
        <w:rPr>
          <w:lang w:val="es-ES"/>
        </w:rPr>
        <w:t xml:space="preserve">Manifestar las razones que dieron lugar para que el sujeto fiscalizado no ejerciera en su totalidad el  presupuesto modificado en los capítulos 4000 Transferencias, Asignaciones, Subsidios y  Otras Ayudas y 6000  Inversión Pública, solicitando proporcione a este </w:t>
      </w:r>
      <w:r w:rsidRPr="00F12670">
        <w:rPr>
          <w:lang w:val="es-ES"/>
        </w:rPr>
        <w:t>Órgano</w:t>
      </w:r>
      <w:bookmarkStart w:id="0" w:name="_GoBack"/>
      <w:bookmarkEnd w:id="0"/>
      <w:r w:rsidRPr="00F12670">
        <w:rPr>
          <w:lang w:val="es-ES"/>
        </w:rPr>
        <w:t xml:space="preserve"> Superior de Fiscalización, los motivos que originaron el subejercicio, con relación al presupuesto modificado, así como su afectación en la estructura programática el cumplimiento o en su caso el incumplimiento de los programas que no ejercieron su presupuesto, en función de los objetivos y metas planteados para el ejercicio presupuestal, por lo que en lo sucesivo, se solicita establecer medidas de control para que se presupueste de acuerdo a las necesidades de las metas programadas. </w:t>
      </w:r>
    </w:p>
    <w:p w:rsidR="006D2A76" w:rsidRDefault="006D2A76" w:rsidP="006D2A76">
      <w:pPr>
        <w:rPr>
          <w:sz w:val="36"/>
          <w:szCs w:val="36"/>
          <w:lang w:val="es-ES"/>
        </w:rPr>
      </w:pPr>
    </w:p>
    <w:p w:rsidR="006D2A76" w:rsidRDefault="006D2A76" w:rsidP="006D2A76">
      <w:pPr>
        <w:rPr>
          <w:sz w:val="36"/>
          <w:szCs w:val="36"/>
          <w:lang w:val="es-ES"/>
        </w:rPr>
      </w:pPr>
    </w:p>
    <w:p w:rsidR="006D2A76" w:rsidRPr="00AC7442" w:rsidRDefault="006D2A76" w:rsidP="006D2A76">
      <w:pPr>
        <w:rPr>
          <w:lang w:val="es-MX"/>
        </w:rPr>
      </w:pPr>
      <w:r>
        <w:rPr>
          <w:sz w:val="36"/>
          <w:szCs w:val="36"/>
          <w:lang w:val="es-ES"/>
        </w:rPr>
        <w:lastRenderedPageBreak/>
        <w:t>Respuestas:</w:t>
      </w:r>
      <w:r w:rsidRPr="00AC7442">
        <w:rPr>
          <w:lang w:val="es-MX"/>
        </w:rPr>
        <w:t xml:space="preserve"> </w:t>
      </w:r>
    </w:p>
    <w:p w:rsidR="006D2A76" w:rsidRDefault="006D2A76" w:rsidP="006D2A76">
      <w:pPr>
        <w:rPr>
          <w:rFonts w:ascii="Arial" w:hAnsi="Arial" w:cs="Arial"/>
          <w:sz w:val="24"/>
          <w:szCs w:val="24"/>
          <w:lang w:val="es-MX"/>
        </w:rPr>
      </w:pPr>
    </w:p>
    <w:p w:rsidR="006D2A76" w:rsidRDefault="006D2A76" w:rsidP="006D2A76">
      <w:pPr>
        <w:spacing w:line="312" w:lineRule="auto"/>
        <w:jc w:val="both"/>
        <w:rPr>
          <w:rFonts w:ascii="Arial" w:hAnsi="Arial" w:cs="Arial"/>
          <w:sz w:val="24"/>
          <w:szCs w:val="24"/>
          <w:lang w:val="es-MX"/>
        </w:rPr>
      </w:pPr>
      <w:r>
        <w:rPr>
          <w:rFonts w:ascii="Arial" w:hAnsi="Arial" w:cs="Arial"/>
          <w:sz w:val="24"/>
          <w:szCs w:val="24"/>
          <w:lang w:val="es-MX"/>
        </w:rPr>
        <w:t>Las razones que se tuvieron para presentar los hechos que originaron la presente observación preliminar, fueron varias que de manera global se centran en que la falta de liquidez de la Hacienda Pública Estatal en el último trimestre del año y que difirió su pago hasta el siguientes año; ejecución tardía de ajustes en registro contable; falta de disponibilidad de los recursos federales convenidos y la presupuestal de economías presupuestales en la ejecución de obras.</w:t>
      </w:r>
    </w:p>
    <w:p w:rsidR="006D2A76" w:rsidRDefault="006D2A76" w:rsidP="006D2A76">
      <w:pPr>
        <w:spacing w:line="312" w:lineRule="auto"/>
        <w:jc w:val="both"/>
        <w:rPr>
          <w:rFonts w:ascii="Arial" w:hAnsi="Arial" w:cs="Arial"/>
          <w:sz w:val="24"/>
          <w:szCs w:val="24"/>
          <w:lang w:val="es-MX"/>
        </w:rPr>
      </w:pPr>
      <w:r>
        <w:rPr>
          <w:rFonts w:ascii="Arial" w:hAnsi="Arial" w:cs="Arial"/>
          <w:sz w:val="24"/>
          <w:szCs w:val="24"/>
          <w:lang w:val="es-MX"/>
        </w:rPr>
        <w:t>En relación  a los motivos que originaron el subejercicio, esta situación obedece a factores externos que resultaron afectados de manera negativa, fueron los correspondientes a 3X1 para Migrantes y Empleo Temporal que se cancelaron, debido a su falta de recursos federales, siendo los únicos que resultaron afectados en cuanto a los objetivos y metas planteadas, dado que las demás obras se ejecutaron en tiempo y forma.</w:t>
      </w:r>
    </w:p>
    <w:p w:rsidR="006D2A76" w:rsidRDefault="006D2A76" w:rsidP="006D2A76">
      <w:pPr>
        <w:spacing w:line="312" w:lineRule="auto"/>
        <w:jc w:val="both"/>
        <w:rPr>
          <w:rFonts w:ascii="Arial" w:hAnsi="Arial" w:cs="Arial"/>
          <w:sz w:val="24"/>
          <w:szCs w:val="24"/>
          <w:lang w:val="es-MX"/>
        </w:rPr>
      </w:pPr>
      <w:r>
        <w:rPr>
          <w:rFonts w:ascii="Arial" w:hAnsi="Arial" w:cs="Arial"/>
          <w:sz w:val="24"/>
          <w:szCs w:val="24"/>
          <w:lang w:val="es-MX"/>
        </w:rPr>
        <w:t>Por último en lo que se refiere a las medidas a instrumentarse se solicitó a los Organismos Sectorizados y a la Dirección General de Infraestructura su apoyo afín de establecer mecanismos de planeación y programación que contribuyan a evitar la situación observada, se anexa cuadro informativo que detalla y precisa las causas específicas las causas y variaciones observadas.</w:t>
      </w: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spacing w:line="312" w:lineRule="auto"/>
        <w:rPr>
          <w:rFonts w:ascii="Arial" w:hAnsi="Arial" w:cs="Arial"/>
          <w:sz w:val="24"/>
          <w:szCs w:val="24"/>
          <w:lang w:val="es-MX"/>
        </w:rPr>
      </w:pPr>
    </w:p>
    <w:p w:rsidR="006D2A76" w:rsidRDefault="006D2A76" w:rsidP="006D2A76">
      <w:pPr>
        <w:jc w:val="center"/>
        <w:rPr>
          <w:sz w:val="96"/>
          <w:szCs w:val="96"/>
          <w:lang w:val="es-ES"/>
        </w:rPr>
        <w:sectPr w:rsidR="006D2A76" w:rsidSect="006D2A76">
          <w:headerReference w:type="default" r:id="rId11"/>
          <w:footerReference w:type="default" r:id="rId12"/>
          <w:footerReference w:type="first" r:id="rId13"/>
          <w:pgSz w:w="12240" w:h="15840"/>
          <w:pgMar w:top="2016" w:right="1699" w:bottom="1411" w:left="1699" w:header="720" w:footer="720" w:gutter="0"/>
          <w:pgNumType w:start="0"/>
          <w:cols w:space="720"/>
          <w:titlePg/>
          <w:docGrid w:linePitch="360"/>
        </w:sectPr>
      </w:pPr>
    </w:p>
    <w:p w:rsidR="006D2A76" w:rsidRDefault="006D2A76" w:rsidP="006D2A76">
      <w:pPr>
        <w:jc w:val="center"/>
        <w:rPr>
          <w:sz w:val="96"/>
          <w:szCs w:val="96"/>
          <w:lang w:val="es-ES"/>
        </w:rPr>
      </w:pPr>
    </w:p>
    <w:p w:rsidR="006D2A76" w:rsidRDefault="006D2A76" w:rsidP="006D2A76">
      <w:pPr>
        <w:jc w:val="center"/>
        <w:rPr>
          <w:sz w:val="96"/>
          <w:szCs w:val="96"/>
          <w:lang w:val="es-ES"/>
        </w:rPr>
      </w:pPr>
    </w:p>
    <w:p w:rsidR="006D2A76" w:rsidRDefault="006D2A76" w:rsidP="006D2A76">
      <w:pPr>
        <w:jc w:val="center"/>
        <w:rPr>
          <w:sz w:val="96"/>
          <w:szCs w:val="96"/>
          <w:lang w:val="es-ES"/>
        </w:rPr>
      </w:pPr>
    </w:p>
    <w:p w:rsidR="006D2A76" w:rsidRPr="001B2707" w:rsidRDefault="006D2A76" w:rsidP="006D2A76">
      <w:pPr>
        <w:jc w:val="center"/>
        <w:rPr>
          <w:sz w:val="96"/>
          <w:szCs w:val="96"/>
          <w:lang w:val="es-ES"/>
        </w:rPr>
      </w:pPr>
      <w:r w:rsidRPr="001B2707">
        <w:rPr>
          <w:sz w:val="96"/>
          <w:szCs w:val="96"/>
          <w:lang w:val="es-ES"/>
        </w:rPr>
        <w:t>ANEXO</w:t>
      </w:r>
    </w:p>
    <w:p w:rsidR="006D2A76" w:rsidRDefault="006D2A76" w:rsidP="006D2A76">
      <w:pPr>
        <w:rPr>
          <w:sz w:val="36"/>
          <w:szCs w:val="36"/>
          <w:lang w:val="es-ES"/>
        </w:rPr>
      </w:pPr>
    </w:p>
    <w:p w:rsidR="006D2A76" w:rsidRDefault="006D2A76" w:rsidP="006D2A76">
      <w:pPr>
        <w:rPr>
          <w:sz w:val="36"/>
          <w:szCs w:val="36"/>
          <w:lang w:val="es-ES"/>
        </w:rPr>
      </w:pPr>
    </w:p>
    <w:p w:rsidR="006D2A76" w:rsidRDefault="006D2A76" w:rsidP="006D2A76">
      <w:pPr>
        <w:rPr>
          <w:sz w:val="36"/>
          <w:szCs w:val="36"/>
          <w:lang w:val="es-ES"/>
        </w:rPr>
      </w:pPr>
    </w:p>
    <w:p w:rsidR="006D2A76" w:rsidRDefault="006D2A76" w:rsidP="006D2A76">
      <w:pPr>
        <w:rPr>
          <w:sz w:val="36"/>
          <w:szCs w:val="36"/>
          <w:lang w:val="es-ES"/>
        </w:rPr>
      </w:pPr>
    </w:p>
    <w:p w:rsidR="006D2A76" w:rsidRDefault="006D2A76" w:rsidP="006D2A76">
      <w:pPr>
        <w:rPr>
          <w:sz w:val="36"/>
          <w:szCs w:val="36"/>
          <w:lang w:val="es-ES"/>
        </w:rPr>
      </w:pPr>
    </w:p>
    <w:p w:rsidR="006D2A76" w:rsidRDefault="006D2A76" w:rsidP="006D2A76">
      <w:pPr>
        <w:rPr>
          <w:sz w:val="36"/>
          <w:szCs w:val="36"/>
          <w:lang w:val="es-ES"/>
        </w:rPr>
      </w:pPr>
    </w:p>
    <w:p w:rsidR="006D2A76" w:rsidRDefault="006D2A76" w:rsidP="006D2A76">
      <w:pPr>
        <w:rPr>
          <w:sz w:val="36"/>
          <w:szCs w:val="36"/>
          <w:lang w:val="es-ES"/>
        </w:rPr>
      </w:pPr>
    </w:p>
    <w:tbl>
      <w:tblPr>
        <w:tblpPr w:leftFromText="141" w:rightFromText="141" w:vertAnchor="text" w:horzAnchor="margin" w:tblpY="122"/>
        <w:tblW w:w="12403" w:type="dxa"/>
        <w:tblLayout w:type="fixed"/>
        <w:tblCellMar>
          <w:left w:w="70" w:type="dxa"/>
          <w:right w:w="70" w:type="dxa"/>
        </w:tblCellMar>
        <w:tblLook w:val="04A0" w:firstRow="1" w:lastRow="0" w:firstColumn="1" w:lastColumn="0" w:noHBand="0" w:noVBand="1"/>
      </w:tblPr>
      <w:tblGrid>
        <w:gridCol w:w="1063"/>
        <w:gridCol w:w="3543"/>
        <w:gridCol w:w="1418"/>
        <w:gridCol w:w="1417"/>
        <w:gridCol w:w="1560"/>
        <w:gridCol w:w="3402"/>
      </w:tblGrid>
      <w:tr w:rsidR="006D2A76" w:rsidRPr="00C90204" w:rsidTr="006D2A76">
        <w:trPr>
          <w:trHeight w:val="279"/>
        </w:trPr>
        <w:tc>
          <w:tcPr>
            <w:tcW w:w="1063" w:type="dxa"/>
            <w:vMerge w:val="restart"/>
            <w:tcBorders>
              <w:top w:val="single" w:sz="4" w:space="0" w:color="auto"/>
              <w:left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r w:rsidRPr="00C90204">
              <w:rPr>
                <w:rFonts w:ascii="Arial" w:eastAsia="Times New Roman" w:hAnsi="Arial" w:cs="Arial"/>
                <w:b/>
                <w:bCs/>
                <w:color w:val="000000"/>
                <w:sz w:val="20"/>
                <w:szCs w:val="20"/>
                <w:lang w:val="es-MX" w:eastAsia="es-MX"/>
              </w:rPr>
              <w:t>Partida</w:t>
            </w:r>
          </w:p>
        </w:tc>
        <w:tc>
          <w:tcPr>
            <w:tcW w:w="3543" w:type="dxa"/>
            <w:vMerge w:val="restart"/>
            <w:tcBorders>
              <w:top w:val="single" w:sz="4" w:space="0" w:color="auto"/>
              <w:left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r w:rsidRPr="00C90204">
              <w:rPr>
                <w:rFonts w:ascii="Arial" w:eastAsia="Times New Roman" w:hAnsi="Arial" w:cs="Arial"/>
                <w:b/>
                <w:bCs/>
                <w:color w:val="000000"/>
                <w:sz w:val="20"/>
                <w:szCs w:val="20"/>
                <w:lang w:val="es-MX" w:eastAsia="es-MX"/>
              </w:rPr>
              <w:t>Concepto</w:t>
            </w:r>
          </w:p>
        </w:tc>
        <w:tc>
          <w:tcPr>
            <w:tcW w:w="4395"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Presupuesto</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Justificación</w:t>
            </w:r>
          </w:p>
        </w:tc>
      </w:tr>
      <w:tr w:rsidR="006D2A76" w:rsidRPr="00C90204" w:rsidTr="006D2A76">
        <w:trPr>
          <w:trHeight w:val="75"/>
        </w:trPr>
        <w:tc>
          <w:tcPr>
            <w:tcW w:w="1063" w:type="dxa"/>
            <w:vMerge/>
            <w:tcBorders>
              <w:left w:val="single" w:sz="4" w:space="0" w:color="auto"/>
              <w:bottom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p>
        </w:tc>
        <w:tc>
          <w:tcPr>
            <w:tcW w:w="3543" w:type="dxa"/>
            <w:vMerge/>
            <w:tcBorders>
              <w:left w:val="single" w:sz="4" w:space="0" w:color="auto"/>
              <w:bottom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Modificado</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Devengado</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Subejercicios</w:t>
            </w:r>
          </w:p>
        </w:tc>
        <w:tc>
          <w:tcPr>
            <w:tcW w:w="3402" w:type="dxa"/>
            <w:vMerge/>
            <w:tcBorders>
              <w:left w:val="single" w:sz="4" w:space="0" w:color="auto"/>
              <w:bottom w:val="single" w:sz="4" w:space="0" w:color="auto"/>
              <w:right w:val="single" w:sz="4" w:space="0" w:color="auto"/>
            </w:tcBorders>
            <w:shd w:val="clear" w:color="000000" w:fill="FFFFFF"/>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p>
        </w:tc>
      </w:tr>
      <w:tr w:rsidR="006D2A76" w:rsidRPr="00C90204" w:rsidTr="006D2A76">
        <w:trPr>
          <w:trHeight w:val="615"/>
        </w:trPr>
        <w:tc>
          <w:tcPr>
            <w:tcW w:w="10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A76" w:rsidRPr="00C90204" w:rsidRDefault="006D2A76" w:rsidP="006D2A76">
            <w:pPr>
              <w:spacing w:after="0" w:line="240" w:lineRule="auto"/>
              <w:jc w:val="center"/>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411</w:t>
            </w:r>
          </w:p>
        </w:tc>
        <w:tc>
          <w:tcPr>
            <w:tcW w:w="3543" w:type="dxa"/>
            <w:tcBorders>
              <w:top w:val="single" w:sz="4" w:space="0" w:color="auto"/>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center"/>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Asignaciones Presupuestales al Poder Ejecutivo</w:t>
            </w:r>
          </w:p>
        </w:tc>
        <w:tc>
          <w:tcPr>
            <w:tcW w:w="1418" w:type="dxa"/>
            <w:tcBorders>
              <w:top w:val="single" w:sz="4" w:space="0" w:color="auto"/>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center"/>
              <w:rPr>
                <w:rFonts w:ascii="Arial" w:eastAsia="Times New Roman" w:hAnsi="Arial" w:cs="Arial"/>
                <w:sz w:val="18"/>
                <w:szCs w:val="18"/>
                <w:lang w:val="es-MX" w:eastAsia="es-MX"/>
              </w:rPr>
            </w:pPr>
            <w:r w:rsidRPr="00C90204">
              <w:rPr>
                <w:rFonts w:ascii="Arial" w:eastAsia="Times New Roman" w:hAnsi="Arial" w:cs="Arial"/>
                <w:sz w:val="18"/>
                <w:szCs w:val="18"/>
                <w:lang w:val="es-MX" w:eastAsia="es-MX"/>
              </w:rPr>
              <w:t> </w:t>
            </w:r>
          </w:p>
        </w:tc>
        <w:tc>
          <w:tcPr>
            <w:tcW w:w="1417" w:type="dxa"/>
            <w:tcBorders>
              <w:top w:val="single" w:sz="4" w:space="0" w:color="auto"/>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center"/>
              <w:rPr>
                <w:rFonts w:ascii="Arial" w:eastAsia="Times New Roman" w:hAnsi="Arial" w:cs="Arial"/>
                <w:sz w:val="18"/>
                <w:szCs w:val="18"/>
                <w:lang w:val="es-MX" w:eastAsia="es-MX"/>
              </w:rPr>
            </w:pPr>
            <w:r w:rsidRPr="00C90204">
              <w:rPr>
                <w:rFonts w:ascii="Arial" w:eastAsia="Times New Roman" w:hAnsi="Arial" w:cs="Arial"/>
                <w:sz w:val="18"/>
                <w:szCs w:val="18"/>
                <w:lang w:val="es-MX" w:eastAsia="es-MX"/>
              </w:rPr>
              <w:t> </w:t>
            </w:r>
          </w:p>
        </w:tc>
        <w:tc>
          <w:tcPr>
            <w:tcW w:w="1560" w:type="dxa"/>
            <w:tcBorders>
              <w:top w:val="single" w:sz="4" w:space="0" w:color="auto"/>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center"/>
              <w:rPr>
                <w:rFonts w:ascii="Arial" w:eastAsia="Times New Roman" w:hAnsi="Arial" w:cs="Arial"/>
                <w:sz w:val="18"/>
                <w:szCs w:val="18"/>
                <w:lang w:val="es-MX" w:eastAsia="es-MX"/>
              </w:rPr>
            </w:pPr>
            <w:r w:rsidRPr="00C90204">
              <w:rPr>
                <w:rFonts w:ascii="Arial" w:eastAsia="Times New Roman" w:hAnsi="Arial" w:cs="Arial"/>
                <w:sz w:val="18"/>
                <w:szCs w:val="18"/>
                <w:lang w:val="es-MX" w:eastAsia="es-MX"/>
              </w:rPr>
              <w:t> </w:t>
            </w:r>
          </w:p>
        </w:tc>
        <w:tc>
          <w:tcPr>
            <w:tcW w:w="3402" w:type="dxa"/>
            <w:tcBorders>
              <w:top w:val="single" w:sz="4" w:space="0" w:color="auto"/>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center"/>
              <w:rPr>
                <w:rFonts w:ascii="Arial" w:eastAsia="Times New Roman" w:hAnsi="Arial" w:cs="Arial"/>
                <w:sz w:val="18"/>
                <w:szCs w:val="18"/>
                <w:lang w:val="es-MX" w:eastAsia="es-MX"/>
              </w:rPr>
            </w:pP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411031</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Servicios Generales</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66,328,347.36</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66,293,547.36</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34,800.00</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 xml:space="preserve">El monto que se observa sufrió movimientos presupuestales al cierre preliminar del informe trimestral. </w:t>
            </w: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411062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Inversión Publica</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38,025,459.00</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38,025,459.00</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Su incumplimiento se debe a que la Secretaría de Hacienda reasignó dichos recursos a otra Dependencia.</w:t>
            </w: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411111</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xml:space="preserve">Gastos Indirectos </w:t>
            </w:r>
            <w:r>
              <w:rPr>
                <w:rFonts w:ascii="Arial" w:eastAsia="Times New Roman" w:hAnsi="Arial" w:cs="Arial"/>
                <w:color w:val="000000"/>
                <w:sz w:val="18"/>
                <w:szCs w:val="18"/>
                <w:lang w:val="es-MX" w:eastAsia="es-MX"/>
              </w:rPr>
              <w:t>p</w:t>
            </w:r>
            <w:r w:rsidRPr="00C90204">
              <w:rPr>
                <w:rFonts w:ascii="Arial" w:eastAsia="Times New Roman" w:hAnsi="Arial" w:cs="Arial"/>
                <w:color w:val="000000"/>
                <w:sz w:val="18"/>
                <w:szCs w:val="18"/>
                <w:lang w:val="es-MX" w:eastAsia="es-MX"/>
              </w:rPr>
              <w:t>or Obras</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1,462,355.58</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1,450,835.58</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11,520.00</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No se aplicó recursos debido que FONAPO no transfirió en su totalidad el recurso conforme lo previsto en el convenio respectivo.</w:t>
            </w:r>
          </w:p>
        </w:tc>
      </w:tr>
      <w:tr w:rsidR="006D2A76" w:rsidRPr="00C90204" w:rsidTr="006D2A76">
        <w:trPr>
          <w:trHeight w:val="424"/>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1"/>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611</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xml:space="preserve">Edificación Habitacional </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right"/>
              <w:rPr>
                <w:rFonts w:ascii="Arial" w:eastAsia="Times New Roman" w:hAnsi="Arial" w:cs="Arial"/>
                <w:b/>
                <w:bCs/>
                <w:color w:val="000000"/>
                <w:sz w:val="18"/>
                <w:szCs w:val="18"/>
                <w:lang w:val="es-MX" w:eastAsia="es-MX"/>
              </w:rPr>
            </w:pP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611012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Remodelación .y Mejoramiento</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5,026.79</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5,026.79</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rPr>
                <w:rFonts w:ascii="Arial" w:eastAsia="Times New Roman" w:hAnsi="Arial" w:cs="Arial"/>
                <w:color w:val="000000"/>
                <w:sz w:val="18"/>
                <w:szCs w:val="18"/>
                <w:lang w:val="es-MX" w:eastAsia="es-MX"/>
              </w:rPr>
            </w:pP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611022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Construcción  y Ampliación</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66,417,914.65</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62,958,760.19</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3,459,154.46</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Su incumplimiento se debe a que la Secretaría de Hacienda reasignó dichos recursos a otra Dependencia.</w:t>
            </w: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xml:space="preserve">Edificación No  Habitacional </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right"/>
              <w:rPr>
                <w:rFonts w:ascii="Arial" w:eastAsia="Times New Roman" w:hAnsi="Arial" w:cs="Arial"/>
                <w:color w:val="000000"/>
                <w:sz w:val="18"/>
                <w:szCs w:val="18"/>
                <w:lang w:val="es-MX" w:eastAsia="es-MX"/>
              </w:rPr>
            </w:pP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612202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Empleo Temporal</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11,000,000.00</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11,000,000.00</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La variación que se observa es derivada de que no fueron convenidos y transferidos en su totalidad los recursos programados.</w:t>
            </w:r>
          </w:p>
        </w:tc>
      </w:tr>
      <w:tr w:rsidR="006D2A76" w:rsidRPr="00C90204" w:rsidTr="006D2A76">
        <w:trPr>
          <w:trHeight w:val="255"/>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612212</w:t>
            </w:r>
          </w:p>
        </w:tc>
        <w:tc>
          <w:tcPr>
            <w:tcW w:w="3543"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 X1 para Migrantes</w:t>
            </w:r>
          </w:p>
        </w:tc>
        <w:tc>
          <w:tcPr>
            <w:tcW w:w="141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1,497,762.57</w:t>
            </w:r>
          </w:p>
        </w:tc>
        <w:tc>
          <w:tcPr>
            <w:tcW w:w="1417"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60"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1,497,762.57</w:t>
            </w:r>
          </w:p>
        </w:tc>
        <w:tc>
          <w:tcPr>
            <w:tcW w:w="3402"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La variación que se observa es derivada de que no fueron convenidos y transferidos en su totalidad los recursos programados.</w:t>
            </w:r>
          </w:p>
        </w:tc>
      </w:tr>
    </w:tbl>
    <w:p w:rsidR="006D2A76" w:rsidRDefault="006D2A76" w:rsidP="006D2A76">
      <w:pPr>
        <w:rPr>
          <w:sz w:val="36"/>
          <w:szCs w:val="36"/>
          <w:lang w:val="es-ES"/>
        </w:rPr>
      </w:pPr>
    </w:p>
    <w:p w:rsidR="006D2A76" w:rsidRDefault="006D2A76" w:rsidP="006D2A76">
      <w:pPr>
        <w:rPr>
          <w:sz w:val="36"/>
          <w:szCs w:val="36"/>
          <w:lang w:val="es-ES"/>
        </w:rPr>
      </w:pPr>
    </w:p>
    <w:tbl>
      <w:tblPr>
        <w:tblpPr w:leftFromText="141" w:rightFromText="141" w:vertAnchor="text" w:horzAnchor="margin" w:tblpY="291"/>
        <w:tblW w:w="12403" w:type="dxa"/>
        <w:tblLayout w:type="fixed"/>
        <w:tblCellMar>
          <w:left w:w="70" w:type="dxa"/>
          <w:right w:w="70" w:type="dxa"/>
        </w:tblCellMar>
        <w:tblLook w:val="04A0" w:firstRow="1" w:lastRow="0" w:firstColumn="1" w:lastColumn="0" w:noHBand="0" w:noVBand="1"/>
      </w:tblPr>
      <w:tblGrid>
        <w:gridCol w:w="1063"/>
        <w:gridCol w:w="3543"/>
        <w:gridCol w:w="1531"/>
        <w:gridCol w:w="1588"/>
        <w:gridCol w:w="1559"/>
        <w:gridCol w:w="3119"/>
      </w:tblGrid>
      <w:tr w:rsidR="006D2A76" w:rsidRPr="00C90204" w:rsidTr="006D2A76">
        <w:trPr>
          <w:trHeight w:val="279"/>
        </w:trPr>
        <w:tc>
          <w:tcPr>
            <w:tcW w:w="1063" w:type="dxa"/>
            <w:vMerge w:val="restart"/>
            <w:tcBorders>
              <w:top w:val="single" w:sz="4" w:space="0" w:color="auto"/>
              <w:left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r w:rsidRPr="00C90204">
              <w:rPr>
                <w:rFonts w:ascii="Arial" w:eastAsia="Times New Roman" w:hAnsi="Arial" w:cs="Arial"/>
                <w:b/>
                <w:bCs/>
                <w:color w:val="000000"/>
                <w:sz w:val="20"/>
                <w:szCs w:val="20"/>
                <w:lang w:val="es-MX" w:eastAsia="es-MX"/>
              </w:rPr>
              <w:t>Partida</w:t>
            </w:r>
          </w:p>
        </w:tc>
        <w:tc>
          <w:tcPr>
            <w:tcW w:w="3543" w:type="dxa"/>
            <w:vMerge w:val="restart"/>
            <w:tcBorders>
              <w:top w:val="single" w:sz="4" w:space="0" w:color="auto"/>
              <w:left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r w:rsidRPr="00C90204">
              <w:rPr>
                <w:rFonts w:ascii="Arial" w:eastAsia="Times New Roman" w:hAnsi="Arial" w:cs="Arial"/>
                <w:b/>
                <w:bCs/>
                <w:color w:val="000000"/>
                <w:sz w:val="20"/>
                <w:szCs w:val="20"/>
                <w:lang w:val="es-MX" w:eastAsia="es-MX"/>
              </w:rPr>
              <w:t>Concepto</w:t>
            </w:r>
          </w:p>
        </w:tc>
        <w:tc>
          <w:tcPr>
            <w:tcW w:w="4678"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Presupuesto</w:t>
            </w:r>
          </w:p>
        </w:tc>
        <w:tc>
          <w:tcPr>
            <w:tcW w:w="3119" w:type="dxa"/>
            <w:vMerge w:val="restart"/>
            <w:tcBorders>
              <w:top w:val="single" w:sz="4" w:space="0" w:color="auto"/>
              <w:left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r>
              <w:rPr>
                <w:rFonts w:ascii="Arial" w:eastAsia="Times New Roman" w:hAnsi="Arial" w:cs="Arial"/>
                <w:b/>
                <w:bCs/>
                <w:sz w:val="20"/>
                <w:szCs w:val="20"/>
                <w:lang w:val="es-MX" w:eastAsia="es-MX"/>
              </w:rPr>
              <w:t>Justificación</w:t>
            </w:r>
          </w:p>
        </w:tc>
      </w:tr>
      <w:tr w:rsidR="006D2A76" w:rsidRPr="00C90204" w:rsidTr="006D2A76">
        <w:trPr>
          <w:trHeight w:val="75"/>
        </w:trPr>
        <w:tc>
          <w:tcPr>
            <w:tcW w:w="1063" w:type="dxa"/>
            <w:vMerge/>
            <w:tcBorders>
              <w:left w:val="single" w:sz="4" w:space="0" w:color="auto"/>
              <w:bottom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p>
        </w:tc>
        <w:tc>
          <w:tcPr>
            <w:tcW w:w="3543" w:type="dxa"/>
            <w:vMerge/>
            <w:tcBorders>
              <w:left w:val="single" w:sz="4" w:space="0" w:color="auto"/>
              <w:bottom w:val="single" w:sz="4" w:space="0" w:color="auto"/>
              <w:right w:val="single" w:sz="4" w:space="0" w:color="auto"/>
            </w:tcBorders>
            <w:shd w:val="clear" w:color="000000" w:fill="FFFFFF"/>
            <w:noWrap/>
            <w:vAlign w:val="center"/>
          </w:tcPr>
          <w:p w:rsidR="006D2A76" w:rsidRPr="00C90204" w:rsidRDefault="006D2A76" w:rsidP="006D2A76">
            <w:pPr>
              <w:spacing w:after="0" w:line="240" w:lineRule="auto"/>
              <w:jc w:val="center"/>
              <w:rPr>
                <w:rFonts w:ascii="Arial" w:eastAsia="Times New Roman" w:hAnsi="Arial" w:cs="Arial"/>
                <w:b/>
                <w:bCs/>
                <w:color w:val="000000"/>
                <w:sz w:val="20"/>
                <w:szCs w:val="20"/>
                <w:lang w:val="es-MX" w:eastAsia="es-MX"/>
              </w:rPr>
            </w:pPr>
          </w:p>
        </w:tc>
        <w:tc>
          <w:tcPr>
            <w:tcW w:w="1531"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Modificado</w:t>
            </w:r>
          </w:p>
        </w:tc>
        <w:tc>
          <w:tcPr>
            <w:tcW w:w="1588"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Devengado</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rsidR="006D2A76" w:rsidRPr="00C90204" w:rsidRDefault="006D2A76" w:rsidP="006D2A76">
            <w:pPr>
              <w:spacing w:after="0" w:line="240" w:lineRule="auto"/>
              <w:jc w:val="center"/>
              <w:rPr>
                <w:rFonts w:ascii="Arial" w:eastAsia="Times New Roman" w:hAnsi="Arial" w:cs="Arial"/>
                <w:sz w:val="20"/>
                <w:szCs w:val="20"/>
                <w:lang w:val="es-MX" w:eastAsia="es-MX"/>
              </w:rPr>
            </w:pPr>
            <w:r w:rsidRPr="00C90204">
              <w:rPr>
                <w:rFonts w:ascii="Arial" w:eastAsia="Times New Roman" w:hAnsi="Arial" w:cs="Arial"/>
                <w:b/>
                <w:bCs/>
                <w:sz w:val="20"/>
                <w:szCs w:val="20"/>
                <w:lang w:val="es-MX" w:eastAsia="es-MX"/>
              </w:rPr>
              <w:t>Subejercicios</w:t>
            </w:r>
          </w:p>
        </w:tc>
        <w:tc>
          <w:tcPr>
            <w:tcW w:w="3119" w:type="dxa"/>
            <w:vMerge/>
            <w:tcBorders>
              <w:left w:val="single" w:sz="4" w:space="0" w:color="auto"/>
              <w:bottom w:val="single" w:sz="4" w:space="0" w:color="auto"/>
              <w:right w:val="single" w:sz="4" w:space="0" w:color="auto"/>
            </w:tcBorders>
            <w:shd w:val="clear" w:color="000000" w:fill="FFFFFF"/>
          </w:tcPr>
          <w:p w:rsidR="006D2A76" w:rsidRPr="00C90204" w:rsidRDefault="006D2A76" w:rsidP="006D2A76">
            <w:pPr>
              <w:spacing w:after="0" w:line="240" w:lineRule="auto"/>
              <w:jc w:val="center"/>
              <w:rPr>
                <w:rFonts w:ascii="Arial" w:eastAsia="Times New Roman" w:hAnsi="Arial" w:cs="Arial"/>
                <w:b/>
                <w:bCs/>
                <w:sz w:val="20"/>
                <w:szCs w:val="20"/>
                <w:lang w:val="es-MX" w:eastAsia="es-MX"/>
              </w:rPr>
            </w:pPr>
          </w:p>
        </w:tc>
      </w:tr>
      <w:tr w:rsidR="006D2A76" w:rsidRPr="00C90204" w:rsidTr="006D2A76">
        <w:trPr>
          <w:trHeight w:val="870"/>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1"/>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613</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Construcción de Obras para Abastecimiento de Agua, Petróleo,</w:t>
            </w:r>
            <w:r>
              <w:rPr>
                <w:rFonts w:ascii="Arial" w:eastAsia="Times New Roman" w:hAnsi="Arial" w:cs="Arial"/>
                <w:b/>
                <w:bCs/>
                <w:color w:val="000000"/>
                <w:sz w:val="18"/>
                <w:szCs w:val="18"/>
                <w:lang w:val="es-MX" w:eastAsia="es-MX"/>
              </w:rPr>
              <w:t xml:space="preserve"> </w:t>
            </w:r>
            <w:r w:rsidRPr="00C90204">
              <w:rPr>
                <w:rFonts w:ascii="Arial" w:eastAsia="Times New Roman" w:hAnsi="Arial" w:cs="Arial"/>
                <w:b/>
                <w:bCs/>
                <w:color w:val="000000"/>
                <w:sz w:val="18"/>
                <w:szCs w:val="18"/>
                <w:lang w:val="es-MX" w:eastAsia="es-MX"/>
              </w:rPr>
              <w:t>Gas, Electricidad y Telecomunicaciones</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3119" w:type="dxa"/>
            <w:tcBorders>
              <w:top w:val="nil"/>
              <w:left w:val="nil"/>
              <w:bottom w:val="single" w:sz="4" w:space="0" w:color="4D6776"/>
              <w:right w:val="single" w:sz="4" w:space="0" w:color="4D6776"/>
            </w:tcBorders>
            <w:shd w:val="clear" w:color="000000" w:fill="FFFFFF"/>
          </w:tcPr>
          <w:p w:rsidR="006D2A76" w:rsidRPr="000F1CEE" w:rsidRDefault="006D2A76" w:rsidP="006D2A76">
            <w:pPr>
              <w:spacing w:after="0" w:line="240" w:lineRule="auto"/>
              <w:jc w:val="right"/>
              <w:rPr>
                <w:rFonts w:ascii="Arial" w:eastAsia="Times New Roman" w:hAnsi="Arial" w:cs="Arial"/>
                <w:color w:val="000000"/>
                <w:sz w:val="18"/>
                <w:szCs w:val="18"/>
                <w:lang w:val="es-MX" w:eastAsia="es-MX"/>
              </w:rPr>
            </w:pPr>
          </w:p>
        </w:tc>
      </w:tr>
      <w:tr w:rsidR="006D2A76" w:rsidRPr="00C90204" w:rsidTr="006D2A76">
        <w:trPr>
          <w:trHeight w:val="510"/>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613012</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Rehabilitación de Sistemas de Abastecimiento de Agua Potable</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5,394,877.09</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5,380,855.84</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14,021.25</w:t>
            </w:r>
          </w:p>
        </w:tc>
        <w:tc>
          <w:tcPr>
            <w:tcW w:w="3119" w:type="dxa"/>
            <w:tcBorders>
              <w:top w:val="nil"/>
              <w:left w:val="nil"/>
              <w:bottom w:val="single" w:sz="4" w:space="0" w:color="4D6776"/>
              <w:right w:val="single" w:sz="4" w:space="0" w:color="4D6776"/>
            </w:tcBorders>
            <w:shd w:val="clear" w:color="000000" w:fill="FFFFFF"/>
            <w:vAlign w:val="center"/>
          </w:tcPr>
          <w:p w:rsidR="006D2A76" w:rsidRPr="000F1CEE" w:rsidRDefault="006D2A76" w:rsidP="006D2A76">
            <w:pPr>
              <w:spacing w:after="0" w:line="240" w:lineRule="auto"/>
              <w:jc w:val="both"/>
              <w:rPr>
                <w:rFonts w:ascii="Arial" w:eastAsia="Times New Roman" w:hAnsi="Arial" w:cs="Arial"/>
                <w:color w:val="000000"/>
                <w:sz w:val="18"/>
                <w:szCs w:val="18"/>
                <w:lang w:val="es-MX" w:eastAsia="es-MX"/>
              </w:rPr>
            </w:pPr>
            <w:r>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510"/>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613022</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Ampliación de Sistemas de Abastecimiento de Agua Potable</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13,082,696.51</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13,044,164.20</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38,532.31</w:t>
            </w:r>
          </w:p>
        </w:tc>
        <w:tc>
          <w:tcPr>
            <w:tcW w:w="3119" w:type="dxa"/>
            <w:tcBorders>
              <w:top w:val="nil"/>
              <w:left w:val="nil"/>
              <w:bottom w:val="single" w:sz="4" w:space="0" w:color="4D6776"/>
              <w:right w:val="single" w:sz="4" w:space="0" w:color="4D6776"/>
            </w:tcBorders>
            <w:shd w:val="clear" w:color="000000" w:fill="FFFFFF"/>
            <w:vAlign w:val="center"/>
          </w:tcPr>
          <w:p w:rsidR="006D2A76" w:rsidRDefault="006D2A76" w:rsidP="006D2A76">
            <w:pPr>
              <w:jc w:val="both"/>
            </w:pPr>
            <w:r w:rsidRPr="005D34A4">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510"/>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613032</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Construcción  de Sistemas de   Abastecimiento de Agua Potable</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9,179,256.17</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9,179,079.82</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176.35</w:t>
            </w:r>
          </w:p>
        </w:tc>
        <w:tc>
          <w:tcPr>
            <w:tcW w:w="3119" w:type="dxa"/>
            <w:tcBorders>
              <w:top w:val="nil"/>
              <w:left w:val="nil"/>
              <w:bottom w:val="single" w:sz="4" w:space="0" w:color="4D6776"/>
              <w:right w:val="single" w:sz="4" w:space="0" w:color="4D6776"/>
            </w:tcBorders>
            <w:shd w:val="clear" w:color="000000" w:fill="FFFFFF"/>
            <w:vAlign w:val="center"/>
          </w:tcPr>
          <w:p w:rsidR="006D2A76" w:rsidRDefault="006D2A76" w:rsidP="006D2A76">
            <w:pPr>
              <w:jc w:val="both"/>
            </w:pPr>
            <w:r w:rsidRPr="005D34A4">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510"/>
        </w:trPr>
        <w:tc>
          <w:tcPr>
            <w:tcW w:w="1063" w:type="dxa"/>
            <w:tcBorders>
              <w:top w:val="nil"/>
              <w:left w:val="single" w:sz="4" w:space="0" w:color="4D6776"/>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613112</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Infraestructura para Generación y Transmisión de Energía Eléctrica</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2,664,665.46</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2,662,795.84</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1,869.62</w:t>
            </w:r>
          </w:p>
        </w:tc>
        <w:tc>
          <w:tcPr>
            <w:tcW w:w="3119" w:type="dxa"/>
            <w:tcBorders>
              <w:top w:val="nil"/>
              <w:left w:val="nil"/>
              <w:bottom w:val="single" w:sz="4" w:space="0" w:color="4D6776"/>
              <w:right w:val="single" w:sz="4" w:space="0" w:color="4D6776"/>
            </w:tcBorders>
            <w:shd w:val="clear" w:color="000000" w:fill="FFFFFF"/>
            <w:vAlign w:val="center"/>
          </w:tcPr>
          <w:p w:rsidR="006D2A76" w:rsidRDefault="006D2A76" w:rsidP="006D2A76">
            <w:pPr>
              <w:jc w:val="both"/>
            </w:pPr>
            <w:r w:rsidRPr="005D34A4">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488"/>
        </w:trPr>
        <w:tc>
          <w:tcPr>
            <w:tcW w:w="1063" w:type="dxa"/>
            <w:tcBorders>
              <w:top w:val="nil"/>
              <w:left w:val="single" w:sz="4" w:space="0" w:color="4D6776"/>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center"/>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614</w:t>
            </w:r>
          </w:p>
        </w:tc>
        <w:tc>
          <w:tcPr>
            <w:tcW w:w="3543" w:type="dxa"/>
            <w:tcBorders>
              <w:top w:val="nil"/>
              <w:left w:val="nil"/>
              <w:bottom w:val="single" w:sz="4" w:space="0" w:color="4D6776"/>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b/>
                <w:bCs/>
                <w:color w:val="000000"/>
                <w:sz w:val="18"/>
                <w:szCs w:val="18"/>
                <w:lang w:val="es-MX" w:eastAsia="es-MX"/>
              </w:rPr>
            </w:pPr>
            <w:r w:rsidRPr="00C90204">
              <w:rPr>
                <w:rFonts w:ascii="Arial" w:eastAsia="Times New Roman" w:hAnsi="Arial" w:cs="Arial"/>
                <w:b/>
                <w:bCs/>
                <w:color w:val="000000"/>
                <w:sz w:val="18"/>
                <w:szCs w:val="18"/>
                <w:lang w:val="es-MX" w:eastAsia="es-MX"/>
              </w:rPr>
              <w:t xml:space="preserve">División de Terrenos y Construcción de Obras de Urbanización </w:t>
            </w:r>
          </w:p>
        </w:tc>
        <w:tc>
          <w:tcPr>
            <w:tcW w:w="1531"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88"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1559" w:type="dxa"/>
            <w:tcBorders>
              <w:top w:val="nil"/>
              <w:left w:val="nil"/>
              <w:bottom w:val="single" w:sz="4" w:space="0" w:color="4D6776"/>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 </w:t>
            </w:r>
          </w:p>
        </w:tc>
        <w:tc>
          <w:tcPr>
            <w:tcW w:w="3119" w:type="dxa"/>
            <w:tcBorders>
              <w:top w:val="nil"/>
              <w:left w:val="nil"/>
              <w:bottom w:val="single" w:sz="4" w:space="0" w:color="4D6776"/>
              <w:right w:val="single" w:sz="4" w:space="0" w:color="4D6776"/>
            </w:tcBorders>
            <w:shd w:val="clear" w:color="000000" w:fill="FFFFFF"/>
            <w:vAlign w:val="center"/>
          </w:tcPr>
          <w:p w:rsidR="006D2A76" w:rsidRDefault="006D2A76" w:rsidP="006D2A76">
            <w:pPr>
              <w:jc w:val="both"/>
            </w:pPr>
            <w:r w:rsidRPr="005D34A4">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510"/>
        </w:trPr>
        <w:tc>
          <w:tcPr>
            <w:tcW w:w="1063" w:type="dxa"/>
            <w:tcBorders>
              <w:top w:val="nil"/>
              <w:left w:val="single" w:sz="4" w:space="0" w:color="4D6776"/>
              <w:bottom w:val="nil"/>
              <w:right w:val="single" w:sz="4" w:space="0" w:color="4D6776"/>
            </w:tcBorders>
            <w:shd w:val="clear" w:color="000000" w:fill="FFFFFF"/>
            <w:noWrap/>
            <w:vAlign w:val="center"/>
            <w:hideMark/>
          </w:tcPr>
          <w:p w:rsidR="006D2A76" w:rsidRPr="00C90204" w:rsidRDefault="006D2A76" w:rsidP="006D2A76">
            <w:pPr>
              <w:spacing w:after="0" w:line="240" w:lineRule="auto"/>
              <w:ind w:firstLineChars="100" w:firstLine="180"/>
              <w:jc w:val="center"/>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614092</w:t>
            </w:r>
          </w:p>
        </w:tc>
        <w:tc>
          <w:tcPr>
            <w:tcW w:w="3543" w:type="dxa"/>
            <w:tcBorders>
              <w:top w:val="nil"/>
              <w:left w:val="nil"/>
              <w:bottom w:val="nil"/>
              <w:right w:val="single" w:sz="4" w:space="0" w:color="4D6776"/>
            </w:tcBorders>
            <w:shd w:val="clear" w:color="000000" w:fill="FFFFFF"/>
            <w:vAlign w:val="center"/>
            <w:hideMark/>
          </w:tcPr>
          <w:p w:rsidR="006D2A76" w:rsidRPr="00C90204" w:rsidRDefault="006D2A76" w:rsidP="006D2A76">
            <w:pPr>
              <w:spacing w:after="0" w:line="240" w:lineRule="auto"/>
              <w:jc w:val="both"/>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Infraestructura y Equipamiento en Materia de Alcantarillado</w:t>
            </w:r>
          </w:p>
        </w:tc>
        <w:tc>
          <w:tcPr>
            <w:tcW w:w="1531" w:type="dxa"/>
            <w:tcBorders>
              <w:top w:val="nil"/>
              <w:left w:val="nil"/>
              <w:bottom w:val="nil"/>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25,877,404.22</w:t>
            </w:r>
          </w:p>
        </w:tc>
        <w:tc>
          <w:tcPr>
            <w:tcW w:w="1588" w:type="dxa"/>
            <w:tcBorders>
              <w:top w:val="nil"/>
              <w:left w:val="nil"/>
              <w:bottom w:val="nil"/>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25,841,402.48</w:t>
            </w:r>
          </w:p>
        </w:tc>
        <w:tc>
          <w:tcPr>
            <w:tcW w:w="1559" w:type="dxa"/>
            <w:tcBorders>
              <w:top w:val="nil"/>
              <w:left w:val="nil"/>
              <w:bottom w:val="nil"/>
              <w:right w:val="single" w:sz="4" w:space="0" w:color="4D6776"/>
            </w:tcBorders>
            <w:shd w:val="clear" w:color="000000" w:fill="FFFFFF"/>
            <w:noWrap/>
            <w:vAlign w:val="center"/>
            <w:hideMark/>
          </w:tcPr>
          <w:p w:rsidR="006D2A76" w:rsidRPr="00C90204" w:rsidRDefault="006D2A76" w:rsidP="006D2A76">
            <w:pPr>
              <w:spacing w:after="0" w:line="240" w:lineRule="auto"/>
              <w:jc w:val="right"/>
              <w:rPr>
                <w:rFonts w:ascii="Arial" w:eastAsia="Times New Roman" w:hAnsi="Arial" w:cs="Arial"/>
                <w:color w:val="000000"/>
                <w:sz w:val="18"/>
                <w:szCs w:val="18"/>
                <w:lang w:val="es-MX" w:eastAsia="es-MX"/>
              </w:rPr>
            </w:pPr>
            <w:r w:rsidRPr="00C90204">
              <w:rPr>
                <w:rFonts w:ascii="Arial" w:eastAsia="Times New Roman" w:hAnsi="Arial" w:cs="Arial"/>
                <w:color w:val="000000"/>
                <w:sz w:val="18"/>
                <w:szCs w:val="18"/>
                <w:lang w:val="es-MX" w:eastAsia="es-MX"/>
              </w:rPr>
              <w:t>36,001.74</w:t>
            </w:r>
          </w:p>
        </w:tc>
        <w:tc>
          <w:tcPr>
            <w:tcW w:w="3119" w:type="dxa"/>
            <w:tcBorders>
              <w:top w:val="nil"/>
              <w:left w:val="nil"/>
              <w:bottom w:val="nil"/>
              <w:right w:val="single" w:sz="4" w:space="0" w:color="4D6776"/>
            </w:tcBorders>
            <w:shd w:val="clear" w:color="000000" w:fill="FFFFFF"/>
            <w:vAlign w:val="center"/>
          </w:tcPr>
          <w:p w:rsidR="006D2A76" w:rsidRDefault="006D2A76" w:rsidP="006D2A76">
            <w:pPr>
              <w:jc w:val="both"/>
            </w:pPr>
            <w:r w:rsidRPr="005D34A4">
              <w:rPr>
                <w:rFonts w:ascii="Arial" w:eastAsia="Times New Roman" w:hAnsi="Arial" w:cs="Arial"/>
                <w:color w:val="000000"/>
                <w:sz w:val="18"/>
                <w:szCs w:val="18"/>
                <w:lang w:val="es-MX" w:eastAsia="es-MX"/>
              </w:rPr>
              <w:t>Montos no aplicados, debido a economías presentadas en la ejecución de las obras.</w:t>
            </w:r>
          </w:p>
        </w:tc>
      </w:tr>
      <w:tr w:rsidR="006D2A76" w:rsidRPr="00C90204" w:rsidTr="006D2A76">
        <w:trPr>
          <w:trHeight w:val="255"/>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2A76" w:rsidRPr="00C90204" w:rsidRDefault="006D2A76" w:rsidP="006D2A76">
            <w:pPr>
              <w:spacing w:after="0" w:line="240" w:lineRule="auto"/>
              <w:rPr>
                <w:rFonts w:ascii="Arial" w:eastAsia="Times New Roman" w:hAnsi="Arial" w:cs="Arial"/>
                <w:sz w:val="20"/>
                <w:szCs w:val="20"/>
                <w:lang w:val="es-MX" w:eastAsia="es-MX"/>
              </w:rPr>
            </w:pPr>
            <w:r w:rsidRPr="00C90204">
              <w:rPr>
                <w:rFonts w:ascii="Arial" w:eastAsia="Times New Roman" w:hAnsi="Arial" w:cs="Arial"/>
                <w:sz w:val="20"/>
                <w:szCs w:val="20"/>
                <w:lang w:val="es-MX" w:eastAsia="es-MX"/>
              </w:rPr>
              <w:t> </w:t>
            </w:r>
          </w:p>
        </w:tc>
        <w:tc>
          <w:tcPr>
            <w:tcW w:w="3543" w:type="dxa"/>
            <w:tcBorders>
              <w:top w:val="single" w:sz="4" w:space="0" w:color="auto"/>
              <w:left w:val="nil"/>
              <w:bottom w:val="single" w:sz="4" w:space="0" w:color="auto"/>
              <w:right w:val="single" w:sz="4" w:space="0" w:color="auto"/>
            </w:tcBorders>
            <w:shd w:val="clear" w:color="auto" w:fill="auto"/>
            <w:noWrap/>
            <w:vAlign w:val="bottom"/>
            <w:hideMark/>
          </w:tcPr>
          <w:p w:rsidR="006D2A76" w:rsidRPr="00C90204" w:rsidRDefault="006D2A76" w:rsidP="006D2A76">
            <w:pPr>
              <w:spacing w:after="0" w:line="240" w:lineRule="auto"/>
              <w:jc w:val="right"/>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 xml:space="preserve">Totales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6D2A76" w:rsidRPr="00C90204" w:rsidRDefault="006D2A76" w:rsidP="006D2A76">
            <w:pPr>
              <w:spacing w:after="0" w:line="240" w:lineRule="auto"/>
              <w:jc w:val="right"/>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240,935,765.40</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6D2A76" w:rsidRPr="00C90204" w:rsidRDefault="006D2A76" w:rsidP="006D2A76">
            <w:pPr>
              <w:spacing w:after="0" w:line="240" w:lineRule="auto"/>
              <w:jc w:val="right"/>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186,811,441.31</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D2A76" w:rsidRPr="00C90204" w:rsidRDefault="006D2A76" w:rsidP="006D2A76">
            <w:pPr>
              <w:spacing w:after="0" w:line="240" w:lineRule="auto"/>
              <w:jc w:val="right"/>
              <w:rPr>
                <w:rFonts w:ascii="Arial" w:eastAsia="Times New Roman" w:hAnsi="Arial" w:cs="Arial"/>
                <w:b/>
                <w:bCs/>
                <w:sz w:val="20"/>
                <w:szCs w:val="20"/>
                <w:lang w:val="es-MX" w:eastAsia="es-MX"/>
              </w:rPr>
            </w:pPr>
            <w:r w:rsidRPr="00C90204">
              <w:rPr>
                <w:rFonts w:ascii="Arial" w:eastAsia="Times New Roman" w:hAnsi="Arial" w:cs="Arial"/>
                <w:b/>
                <w:bCs/>
                <w:sz w:val="20"/>
                <w:szCs w:val="20"/>
                <w:lang w:val="es-MX" w:eastAsia="es-MX"/>
              </w:rPr>
              <w:t>54,124,324.09</w:t>
            </w:r>
          </w:p>
        </w:tc>
        <w:tc>
          <w:tcPr>
            <w:tcW w:w="3119" w:type="dxa"/>
            <w:tcBorders>
              <w:top w:val="single" w:sz="4" w:space="0" w:color="auto"/>
              <w:left w:val="nil"/>
              <w:bottom w:val="single" w:sz="4" w:space="0" w:color="auto"/>
              <w:right w:val="single" w:sz="4" w:space="0" w:color="auto"/>
            </w:tcBorders>
          </w:tcPr>
          <w:p w:rsidR="006D2A76" w:rsidRPr="00C90204" w:rsidRDefault="006D2A76" w:rsidP="006D2A76">
            <w:pPr>
              <w:spacing w:after="0" w:line="240" w:lineRule="auto"/>
              <w:jc w:val="right"/>
              <w:rPr>
                <w:rFonts w:ascii="Arial" w:eastAsia="Times New Roman" w:hAnsi="Arial" w:cs="Arial"/>
                <w:b/>
                <w:bCs/>
                <w:sz w:val="20"/>
                <w:szCs w:val="20"/>
                <w:lang w:val="es-MX" w:eastAsia="es-MX"/>
              </w:rPr>
            </w:pPr>
          </w:p>
        </w:tc>
      </w:tr>
    </w:tbl>
    <w:p w:rsidR="006D2A76" w:rsidRDefault="006D2A76" w:rsidP="006D2A76">
      <w:pPr>
        <w:rPr>
          <w:sz w:val="36"/>
          <w:szCs w:val="36"/>
          <w:lang w:val="es-ES"/>
        </w:rPr>
      </w:pPr>
    </w:p>
    <w:p w:rsidR="006D2A76" w:rsidRDefault="006D2A76" w:rsidP="006D2A76">
      <w:pPr>
        <w:jc w:val="both"/>
        <w:rPr>
          <w:u w:val="single"/>
          <w:lang w:val="es-ES"/>
        </w:rPr>
      </w:pPr>
    </w:p>
    <w:p w:rsidR="004529EB" w:rsidRPr="004837D1" w:rsidRDefault="004529EB" w:rsidP="006D2A76">
      <w:pPr>
        <w:spacing w:line="312" w:lineRule="auto"/>
        <w:rPr>
          <w:rFonts w:ascii="Arial" w:hAnsi="Arial" w:cs="Arial"/>
          <w:sz w:val="24"/>
          <w:szCs w:val="24"/>
          <w:lang w:val="es-MX"/>
        </w:rPr>
      </w:pPr>
    </w:p>
    <w:sectPr w:rsidR="004529EB" w:rsidRPr="004837D1" w:rsidSect="006646B6">
      <w:pgSz w:w="15840" w:h="12240" w:orient="landscape"/>
      <w:pgMar w:top="1701" w:right="1412" w:bottom="1701" w:left="2019" w:header="720" w:footer="720" w:gutter="0"/>
      <w:pgNumType w:start="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6A98" w:rsidRDefault="00BC6A98" w:rsidP="00B6368A">
      <w:pPr>
        <w:spacing w:after="0" w:line="240" w:lineRule="auto"/>
      </w:pPr>
      <w:r>
        <w:separator/>
      </w:r>
    </w:p>
  </w:endnote>
  <w:endnote w:type="continuationSeparator" w:id="0">
    <w:p w:rsidR="00BC6A98" w:rsidRDefault="00BC6A98" w:rsidP="00B63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4966"/>
      <w:docPartObj>
        <w:docPartGallery w:val="Page Numbers (Bottom of Page)"/>
        <w:docPartUnique/>
      </w:docPartObj>
    </w:sdtPr>
    <w:sdtContent>
      <w:p w:rsidR="006646B6" w:rsidRDefault="006646B6">
        <w:pPr>
          <w:pStyle w:val="Piedepgina"/>
          <w:jc w:val="right"/>
        </w:pPr>
        <w:r>
          <w:fldChar w:fldCharType="begin"/>
        </w:r>
        <w:r>
          <w:instrText>PAGE   \* MERGEFORMAT</w:instrText>
        </w:r>
        <w:r>
          <w:fldChar w:fldCharType="separate"/>
        </w:r>
        <w:r w:rsidRPr="006646B6">
          <w:rPr>
            <w:noProof/>
            <w:lang w:val="es-ES"/>
          </w:rPr>
          <w:t>6</w:t>
        </w:r>
        <w:r>
          <w:fldChar w:fldCharType="end"/>
        </w:r>
      </w:p>
    </w:sdtContent>
  </w:sdt>
  <w:p w:rsidR="00B6368A" w:rsidRDefault="00B6368A" w:rsidP="00B6368A">
    <w:pPr>
      <w:pStyle w:val="Piedepgin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A76" w:rsidRPr="006646B6" w:rsidRDefault="006D2A76" w:rsidP="006646B6">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6A98" w:rsidRDefault="00BC6A98" w:rsidP="00B6368A">
      <w:pPr>
        <w:spacing w:after="0" w:line="240" w:lineRule="auto"/>
      </w:pPr>
      <w:r>
        <w:separator/>
      </w:r>
    </w:p>
  </w:footnote>
  <w:footnote w:type="continuationSeparator" w:id="0">
    <w:p w:rsidR="00BC6A98" w:rsidRDefault="00BC6A98" w:rsidP="00B636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68A" w:rsidRDefault="00B6368A">
    <w:pPr>
      <w:pStyle w:val="Encabezado"/>
    </w:pPr>
    <w:r>
      <w:rPr>
        <w:noProof/>
        <w:lang w:val="es-MX" w:eastAsia="es-MX"/>
      </w:rPr>
      <w:drawing>
        <wp:anchor distT="0" distB="0" distL="114300" distR="114300" simplePos="0" relativeHeight="251658240" behindDoc="1" locked="0" layoutInCell="1" allowOverlap="1" wp14:anchorId="01D150C5" wp14:editId="56143449">
          <wp:simplePos x="0" y="0"/>
          <wp:positionH relativeFrom="margin">
            <wp:align>left</wp:align>
          </wp:positionH>
          <wp:positionV relativeFrom="paragraph">
            <wp:posOffset>-18770</wp:posOffset>
          </wp:positionV>
          <wp:extent cx="1433779" cy="810820"/>
          <wp:effectExtent l="0" t="0" r="0" b="889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af.png"/>
                  <pic:cNvPicPr/>
                </pic:nvPicPr>
                <pic:blipFill>
                  <a:blip r:embed="rId1">
                    <a:extLst>
                      <a:ext uri="{28A0092B-C50C-407E-A947-70E740481C1C}">
                        <a14:useLocalDpi xmlns:a14="http://schemas.microsoft.com/office/drawing/2010/main" val="0"/>
                      </a:ext>
                    </a:extLst>
                  </a:blip>
                  <a:stretch>
                    <a:fillRect/>
                  </a:stretch>
                </pic:blipFill>
                <pic:spPr>
                  <a:xfrm>
                    <a:off x="0" y="0"/>
                    <a:ext cx="1433779" cy="8108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62B34"/>
    <w:multiLevelType w:val="hybridMultilevel"/>
    <w:tmpl w:val="46162A0A"/>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7146A4E"/>
    <w:multiLevelType w:val="hybridMultilevel"/>
    <w:tmpl w:val="0E449E90"/>
    <w:lvl w:ilvl="0" w:tplc="E81E6652">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A7653B4"/>
    <w:multiLevelType w:val="hybridMultilevel"/>
    <w:tmpl w:val="C7E09154"/>
    <w:lvl w:ilvl="0" w:tplc="4C7CB1A4">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8A"/>
    <w:rsid w:val="00004783"/>
    <w:rsid w:val="00036284"/>
    <w:rsid w:val="00087B1E"/>
    <w:rsid w:val="000F2EC0"/>
    <w:rsid w:val="001202B4"/>
    <w:rsid w:val="001250FC"/>
    <w:rsid w:val="001514EE"/>
    <w:rsid w:val="0017144E"/>
    <w:rsid w:val="001C113B"/>
    <w:rsid w:val="001E5781"/>
    <w:rsid w:val="0022596B"/>
    <w:rsid w:val="00236EBE"/>
    <w:rsid w:val="002640C1"/>
    <w:rsid w:val="00273D24"/>
    <w:rsid w:val="002776E8"/>
    <w:rsid w:val="002819FE"/>
    <w:rsid w:val="00285A28"/>
    <w:rsid w:val="00292142"/>
    <w:rsid w:val="002A2559"/>
    <w:rsid w:val="002B18A6"/>
    <w:rsid w:val="00322318"/>
    <w:rsid w:val="0034041A"/>
    <w:rsid w:val="00420C34"/>
    <w:rsid w:val="004529EB"/>
    <w:rsid w:val="004830BC"/>
    <w:rsid w:val="004837D1"/>
    <w:rsid w:val="004A658C"/>
    <w:rsid w:val="004D082F"/>
    <w:rsid w:val="004E29C6"/>
    <w:rsid w:val="0051061C"/>
    <w:rsid w:val="005117E2"/>
    <w:rsid w:val="00560ED9"/>
    <w:rsid w:val="0058380C"/>
    <w:rsid w:val="005A4D83"/>
    <w:rsid w:val="005D0DBB"/>
    <w:rsid w:val="005D1579"/>
    <w:rsid w:val="005E3A51"/>
    <w:rsid w:val="006144F5"/>
    <w:rsid w:val="0063733B"/>
    <w:rsid w:val="00652BE8"/>
    <w:rsid w:val="006536D4"/>
    <w:rsid w:val="006646B6"/>
    <w:rsid w:val="006A793D"/>
    <w:rsid w:val="006D0AEC"/>
    <w:rsid w:val="006D2A76"/>
    <w:rsid w:val="006E5B03"/>
    <w:rsid w:val="00724C2B"/>
    <w:rsid w:val="00790B06"/>
    <w:rsid w:val="00801654"/>
    <w:rsid w:val="008139A9"/>
    <w:rsid w:val="008763F6"/>
    <w:rsid w:val="008C39A1"/>
    <w:rsid w:val="008E1EDD"/>
    <w:rsid w:val="009D6B49"/>
    <w:rsid w:val="00A026B0"/>
    <w:rsid w:val="00A817A3"/>
    <w:rsid w:val="00AA588F"/>
    <w:rsid w:val="00AA7C68"/>
    <w:rsid w:val="00AC41D0"/>
    <w:rsid w:val="00AC7442"/>
    <w:rsid w:val="00B278F4"/>
    <w:rsid w:val="00B4260D"/>
    <w:rsid w:val="00B6368A"/>
    <w:rsid w:val="00BC6A98"/>
    <w:rsid w:val="00C86EB6"/>
    <w:rsid w:val="00CC38F8"/>
    <w:rsid w:val="00CE1122"/>
    <w:rsid w:val="00CE79CC"/>
    <w:rsid w:val="00D13877"/>
    <w:rsid w:val="00D667DC"/>
    <w:rsid w:val="00DC2DC1"/>
    <w:rsid w:val="00E47DCD"/>
    <w:rsid w:val="00EF57CA"/>
    <w:rsid w:val="00F12670"/>
    <w:rsid w:val="00FC1A65"/>
    <w:rsid w:val="00FC2A92"/>
    <w:rsid w:val="00FC6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68A"/>
  </w:style>
  <w:style w:type="paragraph" w:styleId="Piedepgina">
    <w:name w:val="footer"/>
    <w:basedOn w:val="Normal"/>
    <w:link w:val="PiedepginaCar"/>
    <w:uiPriority w:val="99"/>
    <w:unhideWhenUsed/>
    <w:rsid w:val="00B63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68A"/>
  </w:style>
  <w:style w:type="character" w:styleId="Textodelmarcadordeposicin">
    <w:name w:val="Placeholder Text"/>
    <w:basedOn w:val="Fuentedeprrafopredeter"/>
    <w:uiPriority w:val="99"/>
    <w:semiHidden/>
    <w:rsid w:val="00B6368A"/>
    <w:rPr>
      <w:color w:val="808080"/>
    </w:rPr>
  </w:style>
  <w:style w:type="paragraph" w:styleId="Prrafodelista">
    <w:name w:val="List Paragraph"/>
    <w:basedOn w:val="Normal"/>
    <w:uiPriority w:val="34"/>
    <w:qFormat/>
    <w:rsid w:val="00DC2DC1"/>
    <w:pPr>
      <w:ind w:left="720"/>
      <w:contextualSpacing/>
    </w:pPr>
  </w:style>
  <w:style w:type="character" w:styleId="Textoennegrita">
    <w:name w:val="Strong"/>
    <w:basedOn w:val="Fuentedeprrafopredeter"/>
    <w:uiPriority w:val="22"/>
    <w:qFormat/>
    <w:rsid w:val="00DC2DC1"/>
    <w:rPr>
      <w:b/>
      <w:bCs/>
    </w:rPr>
  </w:style>
  <w:style w:type="paragraph" w:styleId="Sinespaciado">
    <w:name w:val="No Spacing"/>
    <w:link w:val="SinespaciadoCar"/>
    <w:uiPriority w:val="1"/>
    <w:qFormat/>
    <w:rsid w:val="00A026B0"/>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A026B0"/>
    <w:rPr>
      <w:rFonts w:eastAsiaTheme="minorEastAsia"/>
      <w:lang w:val="es-MX" w:eastAsia="es-MX"/>
    </w:rPr>
  </w:style>
  <w:style w:type="paragraph" w:styleId="Textodeglobo">
    <w:name w:val="Balloon Text"/>
    <w:basedOn w:val="Normal"/>
    <w:link w:val="TextodegloboCar"/>
    <w:uiPriority w:val="99"/>
    <w:semiHidden/>
    <w:unhideWhenUsed/>
    <w:rsid w:val="00A02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6B0"/>
    <w:rPr>
      <w:rFonts w:ascii="Tahoma" w:hAnsi="Tahoma" w:cs="Tahoma"/>
      <w:sz w:val="16"/>
      <w:szCs w:val="16"/>
    </w:rPr>
  </w:style>
  <w:style w:type="table" w:styleId="Tablaconcuadrcula">
    <w:name w:val="Table Grid"/>
    <w:basedOn w:val="Tablanormal"/>
    <w:uiPriority w:val="39"/>
    <w:rsid w:val="00D6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6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36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368A"/>
  </w:style>
  <w:style w:type="paragraph" w:styleId="Piedepgina">
    <w:name w:val="footer"/>
    <w:basedOn w:val="Normal"/>
    <w:link w:val="PiedepginaCar"/>
    <w:uiPriority w:val="99"/>
    <w:unhideWhenUsed/>
    <w:rsid w:val="00B636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68A"/>
  </w:style>
  <w:style w:type="character" w:styleId="Textodelmarcadordeposicin">
    <w:name w:val="Placeholder Text"/>
    <w:basedOn w:val="Fuentedeprrafopredeter"/>
    <w:uiPriority w:val="99"/>
    <w:semiHidden/>
    <w:rsid w:val="00B6368A"/>
    <w:rPr>
      <w:color w:val="808080"/>
    </w:rPr>
  </w:style>
  <w:style w:type="paragraph" w:styleId="Prrafodelista">
    <w:name w:val="List Paragraph"/>
    <w:basedOn w:val="Normal"/>
    <w:uiPriority w:val="34"/>
    <w:qFormat/>
    <w:rsid w:val="00DC2DC1"/>
    <w:pPr>
      <w:ind w:left="720"/>
      <w:contextualSpacing/>
    </w:pPr>
  </w:style>
  <w:style w:type="character" w:styleId="Textoennegrita">
    <w:name w:val="Strong"/>
    <w:basedOn w:val="Fuentedeprrafopredeter"/>
    <w:uiPriority w:val="22"/>
    <w:qFormat/>
    <w:rsid w:val="00DC2DC1"/>
    <w:rPr>
      <w:b/>
      <w:bCs/>
    </w:rPr>
  </w:style>
  <w:style w:type="paragraph" w:styleId="Sinespaciado">
    <w:name w:val="No Spacing"/>
    <w:link w:val="SinespaciadoCar"/>
    <w:uiPriority w:val="1"/>
    <w:qFormat/>
    <w:rsid w:val="00A026B0"/>
    <w:pPr>
      <w:spacing w:after="0" w:line="240" w:lineRule="auto"/>
    </w:pPr>
    <w:rPr>
      <w:rFonts w:eastAsiaTheme="minorEastAsia"/>
      <w:lang w:val="es-MX" w:eastAsia="es-MX"/>
    </w:rPr>
  </w:style>
  <w:style w:type="character" w:customStyle="1" w:styleId="SinespaciadoCar">
    <w:name w:val="Sin espaciado Car"/>
    <w:basedOn w:val="Fuentedeprrafopredeter"/>
    <w:link w:val="Sinespaciado"/>
    <w:uiPriority w:val="1"/>
    <w:rsid w:val="00A026B0"/>
    <w:rPr>
      <w:rFonts w:eastAsiaTheme="minorEastAsia"/>
      <w:lang w:val="es-MX" w:eastAsia="es-MX"/>
    </w:rPr>
  </w:style>
  <w:style w:type="paragraph" w:styleId="Textodeglobo">
    <w:name w:val="Balloon Text"/>
    <w:basedOn w:val="Normal"/>
    <w:link w:val="TextodegloboCar"/>
    <w:uiPriority w:val="99"/>
    <w:semiHidden/>
    <w:unhideWhenUsed/>
    <w:rsid w:val="00A026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026B0"/>
    <w:rPr>
      <w:rFonts w:ascii="Tahoma" w:hAnsi="Tahoma" w:cs="Tahoma"/>
      <w:sz w:val="16"/>
      <w:szCs w:val="16"/>
    </w:rPr>
  </w:style>
  <w:style w:type="table" w:styleId="Tablaconcuadrcula">
    <w:name w:val="Table Grid"/>
    <w:basedOn w:val="Tablanormal"/>
    <w:uiPriority w:val="39"/>
    <w:rsid w:val="00D667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edesson.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6A381-4B1E-44B5-919F-B63ECF907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1002</Words>
  <Characters>5516</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Lopez</dc:creator>
  <cp:keywords/>
  <dc:description/>
  <cp:lastModifiedBy>Rossy Campoy</cp:lastModifiedBy>
  <cp:revision>17</cp:revision>
  <cp:lastPrinted>2018-07-30T21:32:00Z</cp:lastPrinted>
  <dcterms:created xsi:type="dcterms:W3CDTF">2018-07-24T18:46:00Z</dcterms:created>
  <dcterms:modified xsi:type="dcterms:W3CDTF">2018-07-30T21:34:00Z</dcterms:modified>
</cp:coreProperties>
</file>